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BA28A" w14:textId="77777777" w:rsidR="00CF309B" w:rsidRDefault="00CF309B" w:rsidP="00CF309B">
      <w:pPr>
        <w:pStyle w:val="NoSpacing"/>
        <w:tabs>
          <w:tab w:val="left" w:pos="3476"/>
        </w:tabs>
        <w:rPr>
          <w:rFonts w:ascii="Arial" w:hAnsi="Arial" w:cs="Arial"/>
          <w:color w:val="222222"/>
          <w:sz w:val="20"/>
          <w:szCs w:val="20"/>
          <w:shd w:val="clear" w:color="auto" w:fill="FFFFFF"/>
        </w:rPr>
      </w:pPr>
    </w:p>
    <w:p w14:paraId="34D743ED" w14:textId="77777777" w:rsidR="00CF309B" w:rsidRDefault="00CF309B" w:rsidP="00CF309B">
      <w:pPr>
        <w:pStyle w:val="NoSpacing"/>
        <w:tabs>
          <w:tab w:val="left" w:pos="3476"/>
        </w:tabs>
        <w:rPr>
          <w:rFonts w:ascii="Arial" w:hAnsi="Arial" w:cs="Arial"/>
          <w:color w:val="222222"/>
          <w:sz w:val="20"/>
          <w:szCs w:val="20"/>
          <w:shd w:val="clear" w:color="auto" w:fill="FFFFFF"/>
        </w:rPr>
      </w:pPr>
    </w:p>
    <w:p w14:paraId="4155B2FD" w14:textId="77777777" w:rsidR="00CF309B" w:rsidRDefault="00CF309B" w:rsidP="00CF309B">
      <w:pPr>
        <w:pStyle w:val="NoSpacing"/>
      </w:pPr>
    </w:p>
    <w:p w14:paraId="0FC0703A" w14:textId="77777777" w:rsidR="00CF309B" w:rsidRDefault="00CF309B" w:rsidP="00CF309B">
      <w:pPr>
        <w:pStyle w:val="No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gay related immune disease: GRID.</w:t>
      </w:r>
    </w:p>
    <w:p w14:paraId="649E0C27" w14:textId="77777777" w:rsidR="00CF309B" w:rsidRDefault="00CF309B" w:rsidP="00CF309B">
      <w:pPr>
        <w:pStyle w:val="NoSpacing"/>
        <w:rPr>
          <w:rFonts w:ascii="Arial" w:hAnsi="Arial" w:cs="Arial"/>
          <w:color w:val="222222"/>
          <w:sz w:val="20"/>
          <w:szCs w:val="20"/>
          <w:shd w:val="clear" w:color="auto" w:fill="FFFFFF"/>
        </w:rPr>
      </w:pPr>
    </w:p>
    <w:p w14:paraId="1E451F05" w14:textId="77777777" w:rsidR="00CF309B" w:rsidRDefault="00CF309B" w:rsidP="00CF309B">
      <w:pPr>
        <w:pStyle w:val="NoSpacing"/>
        <w:rPr>
          <w:rFonts w:ascii="Arial" w:hAnsi="Arial" w:cs="Arial"/>
          <w:color w:val="222222"/>
          <w:sz w:val="20"/>
          <w:szCs w:val="20"/>
          <w:shd w:val="clear" w:color="auto" w:fill="FFFFFF"/>
        </w:rPr>
      </w:pPr>
    </w:p>
    <w:p w14:paraId="5CC3B70A" w14:textId="77777777" w:rsidR="00CF309B" w:rsidRDefault="00CF309B" w:rsidP="00CF309B">
      <w:pPr>
        <w:pStyle w:val="Heading3"/>
        <w:shd w:val="clear" w:color="auto" w:fill="FFFFFF"/>
        <w:spacing w:before="0" w:after="72" w:line="288" w:lineRule="atLeast"/>
        <w:rPr>
          <w:rFonts w:ascii="Arial" w:hAnsi="Arial" w:cs="Arial"/>
          <w:color w:val="000000"/>
          <w:sz w:val="25"/>
          <w:szCs w:val="25"/>
        </w:rPr>
      </w:pPr>
      <w:r>
        <w:rPr>
          <w:rStyle w:val="mw-headline"/>
          <w:rFonts w:ascii="Arial" w:hAnsi="Arial" w:cs="Arial"/>
          <w:color w:val="000000"/>
          <w:sz w:val="25"/>
          <w:szCs w:val="25"/>
        </w:rPr>
        <w:t>Innate Resistance to HIV?</w:t>
      </w:r>
    </w:p>
    <w:p w14:paraId="5B51EBA0" w14:textId="77777777" w:rsidR="00CF309B" w:rsidRDefault="00CF309B" w:rsidP="00CF309B">
      <w:pPr>
        <w:pStyle w:val="NormalWeb"/>
        <w:shd w:val="clear" w:color="auto" w:fill="FFFFFF"/>
        <w:spacing w:before="96" w:beforeAutospacing="0" w:after="120" w:afterAutospacing="0" w:line="288" w:lineRule="atLeast"/>
        <w:rPr>
          <w:rFonts w:ascii="Arial" w:hAnsi="Arial" w:cs="Arial"/>
          <w:color w:val="000000"/>
          <w:sz w:val="19"/>
          <w:szCs w:val="19"/>
        </w:rPr>
      </w:pPr>
      <w:r>
        <w:rPr>
          <w:rFonts w:ascii="Arial" w:hAnsi="Arial" w:cs="Arial"/>
          <w:color w:val="000000"/>
          <w:sz w:val="19"/>
          <w:szCs w:val="19"/>
        </w:rPr>
        <w:t>Recent research suggests that specific KIR-MHC class 1 gene interactions could control innate genetic resistance to certain viral infections including</w:t>
      </w:r>
      <w:r>
        <w:rPr>
          <w:rStyle w:val="apple-converted-space"/>
          <w:rFonts w:ascii="Arial" w:hAnsi="Arial" w:cs="Arial"/>
          <w:color w:val="000000"/>
          <w:sz w:val="19"/>
          <w:szCs w:val="19"/>
        </w:rPr>
        <w:t> </w:t>
      </w:r>
      <w:hyperlink r:id="rId4" w:tooltip="HIV" w:history="1">
        <w:r>
          <w:rPr>
            <w:rStyle w:val="Hyperlink"/>
            <w:rFonts w:ascii="Arial" w:hAnsi="Arial" w:cs="Arial"/>
            <w:color w:val="0B0080"/>
            <w:sz w:val="19"/>
            <w:szCs w:val="19"/>
          </w:rPr>
          <w:t>HIV</w:t>
        </w:r>
      </w:hyperlink>
      <w:r>
        <w:rPr>
          <w:rStyle w:val="apple-converted-space"/>
          <w:rFonts w:ascii="Arial" w:hAnsi="Arial" w:cs="Arial"/>
          <w:color w:val="000000"/>
          <w:sz w:val="19"/>
          <w:szCs w:val="19"/>
        </w:rPr>
        <w:t> </w:t>
      </w:r>
      <w:r>
        <w:rPr>
          <w:rFonts w:ascii="Arial" w:hAnsi="Arial" w:cs="Arial"/>
          <w:color w:val="000000"/>
          <w:sz w:val="19"/>
          <w:szCs w:val="19"/>
        </w:rPr>
        <w:t>and its consequent development of</w:t>
      </w:r>
      <w:r>
        <w:rPr>
          <w:rStyle w:val="apple-converted-space"/>
          <w:rFonts w:ascii="Arial" w:hAnsi="Arial" w:cs="Arial"/>
          <w:color w:val="000000"/>
          <w:sz w:val="19"/>
          <w:szCs w:val="19"/>
        </w:rPr>
        <w:t> </w:t>
      </w:r>
      <w:hyperlink r:id="rId5" w:tooltip="AIDS" w:history="1">
        <w:r>
          <w:rPr>
            <w:rStyle w:val="Hyperlink"/>
            <w:rFonts w:ascii="Arial" w:hAnsi="Arial" w:cs="Arial"/>
            <w:color w:val="0B0080"/>
            <w:sz w:val="19"/>
            <w:szCs w:val="19"/>
          </w:rPr>
          <w:t>AIDS</w:t>
        </w:r>
      </w:hyperlink>
      <w:r>
        <w:rPr>
          <w:rFonts w:ascii="Arial" w:hAnsi="Arial" w:cs="Arial"/>
          <w:color w:val="000000"/>
          <w:sz w:val="19"/>
          <w:szCs w:val="19"/>
        </w:rPr>
        <w:t>.</w:t>
      </w:r>
      <w:hyperlink r:id="rId6" w:anchor="cite_note-Lannello2008-3" w:history="1">
        <w:r>
          <w:rPr>
            <w:rStyle w:val="Hyperlink"/>
            <w:rFonts w:ascii="Arial" w:hAnsi="Arial" w:cs="Arial"/>
            <w:color w:val="0B0080"/>
            <w:sz w:val="19"/>
            <w:szCs w:val="19"/>
            <w:vertAlign w:val="superscript"/>
          </w:rPr>
          <w:t>[3]</w:t>
        </w:r>
      </w:hyperlink>
      <w:r>
        <w:rPr>
          <w:rStyle w:val="apple-converted-space"/>
          <w:rFonts w:ascii="Arial" w:hAnsi="Arial" w:cs="Arial"/>
          <w:color w:val="000000"/>
          <w:sz w:val="19"/>
          <w:szCs w:val="19"/>
        </w:rPr>
        <w:t> </w:t>
      </w:r>
      <w:r>
        <w:rPr>
          <w:rFonts w:ascii="Arial" w:hAnsi="Arial" w:cs="Arial"/>
          <w:color w:val="000000"/>
          <w:sz w:val="19"/>
          <w:szCs w:val="19"/>
        </w:rPr>
        <w:t>Certain HLA allotypes have been found to determine the progression of HIV to AIDS; an example is the</w:t>
      </w:r>
      <w:r>
        <w:rPr>
          <w:rStyle w:val="apple-converted-space"/>
          <w:rFonts w:ascii="Arial" w:hAnsi="Arial" w:cs="Arial"/>
          <w:color w:val="000000"/>
          <w:sz w:val="19"/>
          <w:szCs w:val="19"/>
        </w:rPr>
        <w:t> </w:t>
      </w:r>
      <w:hyperlink r:id="rId7" w:tooltip="HLA" w:history="1">
        <w:r>
          <w:rPr>
            <w:rStyle w:val="Hyperlink"/>
            <w:rFonts w:ascii="Arial" w:hAnsi="Arial" w:cs="Arial"/>
            <w:color w:val="0B0080"/>
            <w:sz w:val="19"/>
            <w:szCs w:val="19"/>
          </w:rPr>
          <w:t>HLA-B57</w:t>
        </w:r>
      </w:hyperlink>
      <w:r>
        <w:rPr>
          <w:rStyle w:val="apple-converted-space"/>
          <w:rFonts w:ascii="Arial" w:hAnsi="Arial" w:cs="Arial"/>
          <w:color w:val="000000"/>
          <w:sz w:val="19"/>
          <w:szCs w:val="19"/>
        </w:rPr>
        <w:t> </w:t>
      </w:r>
      <w:r>
        <w:rPr>
          <w:rFonts w:ascii="Arial" w:hAnsi="Arial" w:cs="Arial"/>
          <w:color w:val="000000"/>
          <w:sz w:val="19"/>
          <w:szCs w:val="19"/>
        </w:rPr>
        <w:t>and HLA-B27 alleles, which have been found to defer progression of HIV to AIDS. This is evident because patients expressing these HLA alleles are observed to have lower viral loads and a more gradual decline in</w:t>
      </w:r>
      <w:r>
        <w:rPr>
          <w:rStyle w:val="apple-converted-space"/>
          <w:rFonts w:ascii="Arial" w:hAnsi="Arial" w:cs="Arial"/>
          <w:color w:val="000000"/>
          <w:sz w:val="19"/>
          <w:szCs w:val="19"/>
        </w:rPr>
        <w:t> </w:t>
      </w:r>
      <w:hyperlink r:id="rId8" w:tooltip="T helper cell" w:history="1">
        <w:r>
          <w:rPr>
            <w:rStyle w:val="Hyperlink"/>
            <w:rFonts w:ascii="Arial" w:hAnsi="Arial" w:cs="Arial"/>
            <w:color w:val="0B0080"/>
            <w:sz w:val="19"/>
            <w:szCs w:val="19"/>
          </w:rPr>
          <w:t>CD4</w:t>
        </w:r>
        <w:r>
          <w:rPr>
            <w:rStyle w:val="Hyperlink"/>
            <w:rFonts w:ascii="Arial" w:hAnsi="Arial" w:cs="Arial"/>
            <w:color w:val="0B0080"/>
            <w:sz w:val="19"/>
            <w:szCs w:val="19"/>
            <w:vertAlign w:val="superscript"/>
          </w:rPr>
          <w:t>+</w:t>
        </w:r>
        <w:r>
          <w:rPr>
            <w:rStyle w:val="apple-converted-space"/>
            <w:rFonts w:ascii="Arial" w:hAnsi="Arial" w:cs="Arial"/>
            <w:color w:val="0B0080"/>
            <w:sz w:val="19"/>
            <w:szCs w:val="19"/>
            <w:u w:val="single"/>
          </w:rPr>
          <w:t> </w:t>
        </w:r>
        <w:r>
          <w:rPr>
            <w:rStyle w:val="Hyperlink"/>
            <w:rFonts w:ascii="Arial" w:hAnsi="Arial" w:cs="Arial"/>
            <w:color w:val="0B0080"/>
            <w:sz w:val="19"/>
            <w:szCs w:val="19"/>
          </w:rPr>
          <w:t>T</w:t>
        </w:r>
      </w:hyperlink>
      <w:r>
        <w:rPr>
          <w:rStyle w:val="apple-converted-space"/>
          <w:rFonts w:ascii="Arial" w:hAnsi="Arial" w:cs="Arial"/>
          <w:color w:val="000000"/>
          <w:sz w:val="19"/>
          <w:szCs w:val="19"/>
        </w:rPr>
        <w:t> </w:t>
      </w:r>
      <w:r>
        <w:rPr>
          <w:rFonts w:ascii="Arial" w:hAnsi="Arial" w:cs="Arial"/>
          <w:color w:val="000000"/>
          <w:sz w:val="19"/>
          <w:szCs w:val="19"/>
        </w:rPr>
        <w:t>cells numbers. Despite considerable research and data collected measuring the genetic correlation of HLA alleles and KIR allotypes, a firm conclusion has not yet been drawn as to what combination provides decrease HIV and AIDS susceptibility. Future research would aim to pinpoint relevant KIR/HLA interactions with aim to produce a vaccine against HIV/AIDS. NK cells can impose immune pressure on HIV, something that had previously been described only for T cells and antibodies</w:t>
      </w:r>
      <w:r>
        <w:rPr>
          <w:rStyle w:val="apple-converted-space"/>
          <w:rFonts w:ascii="Arial" w:hAnsi="Arial" w:cs="Arial"/>
          <w:color w:val="000000"/>
          <w:sz w:val="19"/>
          <w:szCs w:val="19"/>
        </w:rPr>
        <w:t> </w:t>
      </w:r>
      <w:hyperlink r:id="rId9" w:anchor="cite_note-sd-26" w:history="1">
        <w:r>
          <w:rPr>
            <w:rStyle w:val="Hyperlink"/>
            <w:rFonts w:ascii="Arial" w:hAnsi="Arial" w:cs="Arial"/>
            <w:color w:val="0B0080"/>
            <w:sz w:val="19"/>
            <w:szCs w:val="19"/>
            <w:vertAlign w:val="superscript"/>
          </w:rPr>
          <w:t>[26]</w:t>
        </w:r>
      </w:hyperlink>
      <w:r>
        <w:rPr>
          <w:rStyle w:val="apple-converted-space"/>
          <w:rFonts w:ascii="Arial" w:hAnsi="Arial" w:cs="Arial"/>
          <w:color w:val="000000"/>
          <w:sz w:val="19"/>
          <w:szCs w:val="19"/>
        </w:rPr>
        <w:t> </w:t>
      </w:r>
      <w:r>
        <w:rPr>
          <w:rFonts w:ascii="Arial" w:hAnsi="Arial" w:cs="Arial"/>
          <w:color w:val="000000"/>
          <w:sz w:val="19"/>
          <w:szCs w:val="19"/>
        </w:rPr>
        <w:t>and that HIV mutates to avoid NK cell activity.</w:t>
      </w:r>
      <w:hyperlink r:id="rId10" w:anchor="cite_note-sd-26" w:history="1">
        <w:r>
          <w:rPr>
            <w:rStyle w:val="Hyperlink"/>
            <w:rFonts w:ascii="Arial" w:hAnsi="Arial" w:cs="Arial"/>
            <w:color w:val="0B0080"/>
            <w:sz w:val="19"/>
            <w:szCs w:val="19"/>
            <w:vertAlign w:val="superscript"/>
          </w:rPr>
          <w:t>[26]</w:t>
        </w:r>
      </w:hyperlink>
    </w:p>
    <w:p w14:paraId="70C92FAA" w14:textId="77777777" w:rsidR="00CF309B" w:rsidRDefault="00CF309B" w:rsidP="00CF309B">
      <w:pPr>
        <w:pStyle w:val="NoSpacing"/>
        <w:rPr>
          <w:rFonts w:ascii="Arial" w:hAnsi="Arial" w:cs="Arial"/>
          <w:color w:val="222222"/>
          <w:sz w:val="20"/>
          <w:szCs w:val="20"/>
          <w:shd w:val="clear" w:color="auto" w:fill="FFFFFF"/>
        </w:rPr>
      </w:pPr>
    </w:p>
    <w:p w14:paraId="71368517" w14:textId="77777777" w:rsidR="00CF309B" w:rsidRDefault="00CF309B" w:rsidP="00CF309B">
      <w:pPr>
        <w:pStyle w:val="NoSpacing"/>
        <w:rPr>
          <w:rFonts w:ascii="Arial" w:hAnsi="Arial" w:cs="Arial"/>
          <w:color w:val="222222"/>
          <w:sz w:val="20"/>
          <w:szCs w:val="20"/>
          <w:shd w:val="clear" w:color="auto" w:fill="FFFFFF"/>
        </w:rPr>
      </w:pPr>
    </w:p>
    <w:p w14:paraId="539CB8C4" w14:textId="77777777" w:rsidR="00CF309B" w:rsidRDefault="00CF309B" w:rsidP="00CF309B">
      <w:pPr>
        <w:pStyle w:val="NoSpacing"/>
        <w:rPr>
          <w:rFonts w:ascii="Arial" w:hAnsi="Arial" w:cs="Arial"/>
          <w:color w:val="222222"/>
          <w:sz w:val="20"/>
          <w:szCs w:val="20"/>
          <w:shd w:val="clear" w:color="auto" w:fill="FFFFFF"/>
        </w:rPr>
      </w:pPr>
    </w:p>
    <w:p w14:paraId="3E692952" w14:textId="77777777" w:rsidR="00CF309B" w:rsidRDefault="00CF309B" w:rsidP="00CF309B">
      <w:pPr>
        <w:pStyle w:val="NoSpacing"/>
      </w:pPr>
    </w:p>
    <w:p w14:paraId="6362FAC4" w14:textId="77777777" w:rsidR="00CF309B" w:rsidRDefault="00CF309B" w:rsidP="00CF309B">
      <w:pPr>
        <w:pStyle w:val="NoSpacing"/>
      </w:pPr>
      <w:r>
        <w:t>HAPI: Attrition – track what the other group is doing.  Can we get CM attrition from Lindsey?  Data on who gets jobs when?  In HAPI are the baseline values lower and thus more room for baseline to 2-month improvement?</w:t>
      </w:r>
    </w:p>
    <w:p w14:paraId="673B1215" w14:textId="77777777" w:rsidR="00134F26" w:rsidRDefault="00134F26"/>
    <w:p w14:paraId="6031AA82" w14:textId="77777777" w:rsidR="003F3F07" w:rsidRDefault="003F3F07"/>
    <w:p w14:paraId="6C67393B" w14:textId="77777777" w:rsidR="003F3F07" w:rsidRDefault="003F3F07"/>
    <w:p w14:paraId="4F0B7DE0" w14:textId="77777777" w:rsidR="003F6901" w:rsidRDefault="003F6901"/>
    <w:p w14:paraId="06E8D484" w14:textId="77777777" w:rsidR="003F6901" w:rsidRDefault="003F6901" w:rsidP="003F6901">
      <w:pPr>
        <w:pStyle w:val="NoSpacing"/>
      </w:pPr>
      <w:r>
        <w:t>By the mid 80’s, the threat of heterosexually transmitted AIDS  (or even the threat of transmitting it through bug bites) made for national increase in public concern.  1987 article: predicted 10 million Americans would be infected by 1991.  When 1991 came, the CDC reported about 200k.</w:t>
      </w:r>
    </w:p>
    <w:p w14:paraId="2D2D9323" w14:textId="77777777" w:rsidR="006F35C9" w:rsidRDefault="006F35C9" w:rsidP="006F35C9">
      <w:pPr>
        <w:pStyle w:val="NoSpacing"/>
        <w:rPr>
          <w:rFonts w:asciiTheme="minorHAnsi" w:eastAsiaTheme="minorHAnsi" w:hAnsiTheme="minorHAnsi" w:cstheme="minorBidi"/>
        </w:rPr>
      </w:pPr>
    </w:p>
    <w:p w14:paraId="48726E9F" w14:textId="77777777" w:rsidR="00A66E92" w:rsidRDefault="00A66E92" w:rsidP="006F35C9">
      <w:pPr>
        <w:pStyle w:val="NoSpacing"/>
        <w:rPr>
          <w:rStyle w:val="apple-converted-space"/>
        </w:rPr>
      </w:pPr>
    </w:p>
    <w:p w14:paraId="690A997C" w14:textId="77777777" w:rsidR="00B77376" w:rsidRDefault="00B77376" w:rsidP="00B77376">
      <w:pPr>
        <w:pStyle w:val="NoSpacing"/>
      </w:pPr>
    </w:p>
    <w:p w14:paraId="56AF0E13" w14:textId="77777777" w:rsidR="00B77376" w:rsidRPr="003B5A2D" w:rsidRDefault="00B77376" w:rsidP="00B77376">
      <w:pPr>
        <w:pStyle w:val="NoSpacing"/>
      </w:pPr>
      <w:r w:rsidRPr="003B5A2D">
        <w:t>HIV</w:t>
      </w:r>
    </w:p>
    <w:p w14:paraId="14BBDB8D" w14:textId="77777777" w:rsidR="00B77376" w:rsidRPr="003B5A2D" w:rsidRDefault="00B77376" w:rsidP="00B77376">
      <w:pPr>
        <w:pStyle w:val="NoSpacing"/>
      </w:pPr>
      <w:r w:rsidRPr="003B5A2D">
        <w:t xml:space="preserve">The president of South Africa </w:t>
      </w:r>
    </w:p>
    <w:p w14:paraId="05E2723D" w14:textId="77777777" w:rsidR="00B77376" w:rsidRPr="003B5A2D" w:rsidRDefault="00B77376" w:rsidP="00B77376">
      <w:pPr>
        <w:pStyle w:val="NoSpacing"/>
      </w:pPr>
    </w:p>
    <w:p w14:paraId="5B45429C" w14:textId="77777777" w:rsidR="00B77376" w:rsidRPr="003B5A2D" w:rsidRDefault="00B77376" w:rsidP="00B77376">
      <w:pPr>
        <w:pStyle w:val="NoSpacing"/>
      </w:pPr>
      <w:r w:rsidRPr="003B5A2D">
        <w:t>The public health consensus is that more than 330,000 AIDS deaths and over 170,000 HIV infections can be attributed to the president of South Africa, Thabo Mbeki (tahbo mmbehkey), who became one of the most famous AIDS deniers.</w:t>
      </w:r>
    </w:p>
    <w:p w14:paraId="0B193A36" w14:textId="77777777" w:rsidR="00B77376" w:rsidRPr="003B5A2D" w:rsidRDefault="00B77376" w:rsidP="00B77376">
      <w:pPr>
        <w:pStyle w:val="NoSpacing"/>
      </w:pPr>
      <w:r w:rsidRPr="003B5A2D">
        <w:t xml:space="preserve"> </w:t>
      </w:r>
    </w:p>
    <w:p w14:paraId="61DACD6E" w14:textId="77777777" w:rsidR="00B77376" w:rsidRPr="003B5A2D" w:rsidRDefault="00B77376" w:rsidP="00B77376">
      <w:pPr>
        <w:pStyle w:val="NoSpacing"/>
      </w:pPr>
      <w:r w:rsidRPr="003B5A2D">
        <w:lastRenderedPageBreak/>
        <w:t>Chigwedere P, Seage GR, Gruskin S, Lee TH, Essex M (October 2008). "Estimating the Lost Benefits of Antiretroviral Drug Use in South Africa". Journal of acquired immune deficiency syndromes (1999) 49 (4): 410–415.</w:t>
      </w:r>
    </w:p>
    <w:p w14:paraId="2207EE6C" w14:textId="77777777" w:rsidR="00B77376" w:rsidRPr="003B5A2D" w:rsidRDefault="00B77376" w:rsidP="00B77376">
      <w:pPr>
        <w:pStyle w:val="NoSpacing"/>
      </w:pPr>
    </w:p>
    <w:p w14:paraId="25526992" w14:textId="77777777" w:rsidR="00B77376" w:rsidRPr="003B5A2D" w:rsidRDefault="00B77376" w:rsidP="00B77376">
      <w:pPr>
        <w:pStyle w:val="NoSpacing"/>
      </w:pPr>
      <w:r w:rsidRPr="003B5A2D">
        <w:t>Nattrass N (February 2008). "Estimating the Lost Benefits of Antiretroviral Drug Use in South Africa". African Affairs 107 (427): 157–76. </w:t>
      </w:r>
    </w:p>
    <w:p w14:paraId="65A8D2B0" w14:textId="77777777" w:rsidR="00B77376" w:rsidRPr="003B5A2D" w:rsidRDefault="00B77376" w:rsidP="00B77376">
      <w:pPr>
        <w:pStyle w:val="NoSpacing"/>
      </w:pPr>
    </w:p>
    <w:p w14:paraId="18A7A32D" w14:textId="77777777" w:rsidR="00B77376" w:rsidRDefault="00B77376" w:rsidP="00B77376">
      <w:pPr>
        <w:pStyle w:val="NoSpacing"/>
      </w:pPr>
      <w:r w:rsidRPr="003B5A2D">
        <w:t xml:space="preserve">HIV and AIDS are a big deal.  And not </w:t>
      </w:r>
      <w:r>
        <w:t xml:space="preserve">treating them as such </w:t>
      </w:r>
      <w:r w:rsidRPr="003B5A2D">
        <w:t>consistently yields disastrous results.</w:t>
      </w:r>
    </w:p>
    <w:p w14:paraId="722BA4C6" w14:textId="77777777" w:rsidR="00B77376" w:rsidRDefault="00B77376" w:rsidP="00B77376">
      <w:pPr>
        <w:pStyle w:val="NoSpacing"/>
      </w:pPr>
    </w:p>
    <w:p w14:paraId="0F5D3F50" w14:textId="77777777" w:rsidR="00B77376" w:rsidRDefault="00B77376" w:rsidP="00B77376">
      <w:pPr>
        <w:pStyle w:val="NoSpacing"/>
      </w:pPr>
    </w:p>
    <w:p w14:paraId="07528B73" w14:textId="77777777" w:rsidR="006F35C9" w:rsidRDefault="006F35C9"/>
    <w:p w14:paraId="4FCC2AC6" w14:textId="77777777" w:rsidR="00785F22" w:rsidRDefault="00785F22"/>
    <w:p w14:paraId="6691C093" w14:textId="77777777" w:rsidR="00785F22" w:rsidRDefault="00785F22"/>
    <w:p w14:paraId="095A220D"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O’Brien 2009</w:t>
      </w:r>
    </w:p>
    <w:p w14:paraId="61D8F6FB" w14:textId="77777777" w:rsidR="00785F22" w:rsidRDefault="00785F22" w:rsidP="00785F22">
      <w:pPr>
        <w:autoSpaceDE w:val="0"/>
        <w:autoSpaceDN w:val="0"/>
        <w:adjustRightInd w:val="0"/>
        <w:rPr>
          <w:rFonts w:ascii="AGaramond-Regular" w:hAnsi="AGaramond-Regular" w:cs="AGaramond-Regular"/>
          <w:sz w:val="18"/>
          <w:szCs w:val="18"/>
        </w:rPr>
      </w:pPr>
    </w:p>
    <w:p w14:paraId="5B87F19B"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D-1) CD4 count:</w:t>
      </w:r>
    </w:p>
    <w:p w14:paraId="094CB78E"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Grinspoon (2000) found an increase of 31 cells/mm3 in the combined</w:t>
      </w:r>
    </w:p>
    <w:p w14:paraId="5F2A79CE"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PRE and aerobic exercise intervention group compared to</w:t>
      </w:r>
    </w:p>
    <w:p w14:paraId="7B8FCF04"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an increase of 33 cells/mm3 in the non-exercising control group.</w:t>
      </w:r>
    </w:p>
    <w:p w14:paraId="5705BDF8"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Rigsby (1992) found an increase of 58 cells/mm3 in the combined</w:t>
      </w:r>
    </w:p>
    <w:p w14:paraId="1255B421"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PRE and aerobic exercise intervention group as compared to a</w:t>
      </w:r>
    </w:p>
    <w:p w14:paraId="7CEC1214"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decrease of 2 cells/mm3 in the non-exercising control group. Lox</w:t>
      </w:r>
    </w:p>
    <w:p w14:paraId="077E7D09"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(1995) found an increase of 23 cells/mm3 in the PRE group compared</w:t>
      </w:r>
    </w:p>
    <w:p w14:paraId="1A8F67D0"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to a decrease of 78 cells/mm3 in the non-exercising control</w:t>
      </w:r>
    </w:p>
    <w:p w14:paraId="0A8E4A1E"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group. These results were statistically non-significant. In addition,</w:t>
      </w:r>
    </w:p>
    <w:p w14:paraId="0FBE132E"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Rigsby (1992) found non-significant differences in leukocytes,</w:t>
      </w:r>
    </w:p>
    <w:p w14:paraId="09F27A9F"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lymphocytes, CD4, CD8 and CD4:CD8 ratios. Agin (2001) and</w:t>
      </w:r>
    </w:p>
    <w:p w14:paraId="3656CE00"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Sattler (1999) did not include a non-exercising control group. Sattler</w:t>
      </w:r>
    </w:p>
    <w:p w14:paraId="3B299E3B"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(1999) found a non-significant decrease of 10 cells/mm3 in</w:t>
      </w:r>
    </w:p>
    <w:p w14:paraId="46A81B2B"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the combined testosterone and PRE group and a non-significant</w:t>
      </w:r>
    </w:p>
    <w:p w14:paraId="3A272361"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increase of 22 cells/mm3 in the testosterone only group. No other</w:t>
      </w:r>
    </w:p>
    <w:p w14:paraId="0A850327" w14:textId="77777777" w:rsidR="00785F22" w:rsidRDefault="00785F22" w:rsidP="00785F22">
      <w:pPr>
        <w:rPr>
          <w:rFonts w:ascii="AGaramond-Regular" w:hAnsi="AGaramond-Regular" w:cs="AGaramond-Regular"/>
          <w:sz w:val="18"/>
          <w:szCs w:val="18"/>
        </w:rPr>
      </w:pPr>
      <w:r>
        <w:rPr>
          <w:rFonts w:ascii="AGaramond-Regular" w:hAnsi="AGaramond-Regular" w:cs="AGaramond-Regular"/>
          <w:sz w:val="18"/>
          <w:szCs w:val="18"/>
        </w:rPr>
        <w:t>studies reported pre and post exercise CD4 count outcomes.</w:t>
      </w:r>
    </w:p>
    <w:p w14:paraId="2BD6AA83" w14:textId="77777777" w:rsidR="00785F22" w:rsidRDefault="00785F22" w:rsidP="00785F22">
      <w:pPr>
        <w:rPr>
          <w:rFonts w:ascii="AGaramond-Regular" w:hAnsi="AGaramond-Regular" w:cs="AGaramond-Regular"/>
          <w:sz w:val="18"/>
          <w:szCs w:val="18"/>
        </w:rPr>
      </w:pPr>
    </w:p>
    <w:p w14:paraId="65583808" w14:textId="77777777" w:rsidR="00785F22" w:rsidRDefault="00785F22" w:rsidP="00785F22">
      <w:pPr>
        <w:rPr>
          <w:rFonts w:ascii="AGaramond-Regular" w:hAnsi="AGaramond-Regular" w:cs="AGaramond-Regular"/>
          <w:sz w:val="18"/>
          <w:szCs w:val="18"/>
        </w:rPr>
      </w:pPr>
    </w:p>
    <w:p w14:paraId="046A7FF3"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Meta-analysis demonstrated a non-significant increase in CD4</w:t>
      </w:r>
    </w:p>
    <w:p w14:paraId="04BB361E"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count of 31.96 cells/mm3 (95%CI: -28.59, 92.52, n=46) for participants</w:t>
      </w:r>
    </w:p>
    <w:p w14:paraId="1D17D027"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in the combined aerobic and progressive resistive exercise</w:t>
      </w:r>
    </w:p>
    <w:p w14:paraId="359924F0"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groups compared to non-exercising control groups (Rigsby 1992</w:t>
      </w:r>
    </w:p>
    <w:p w14:paraId="4F2ACA94"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&amp; Grinspoon 2000) (see Figure 03.01). The confidence interval</w:t>
      </w:r>
    </w:p>
    <w:p w14:paraId="37AA5CDE"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indicates a possible positive trend towards an increase in CD4</w:t>
      </w:r>
    </w:p>
    <w:p w14:paraId="1DB986F8" w14:textId="77777777" w:rsidR="00785F22" w:rsidRDefault="00785F22" w:rsidP="00785F22">
      <w:pPr>
        <w:rPr>
          <w:rFonts w:ascii="AGaramond-Regular" w:hAnsi="AGaramond-Regular" w:cs="AGaramond-Regular"/>
          <w:sz w:val="18"/>
          <w:szCs w:val="18"/>
        </w:rPr>
      </w:pPr>
      <w:r>
        <w:rPr>
          <w:rFonts w:ascii="AGaramond-Regular" w:hAnsi="AGaramond-Regular" w:cs="AGaramond-Regular"/>
          <w:sz w:val="18"/>
          <w:szCs w:val="18"/>
        </w:rPr>
        <w:t>count for exercisers versus non-exercisers.</w:t>
      </w:r>
    </w:p>
    <w:p w14:paraId="717B9528" w14:textId="77777777" w:rsidR="00785F22" w:rsidRDefault="00785F22" w:rsidP="00785F22">
      <w:pPr>
        <w:rPr>
          <w:rFonts w:ascii="AGaramond-Regular" w:hAnsi="AGaramond-Regular" w:cs="AGaramond-Regular"/>
          <w:sz w:val="18"/>
          <w:szCs w:val="18"/>
        </w:rPr>
      </w:pPr>
    </w:p>
    <w:p w14:paraId="2D162129" w14:textId="77777777" w:rsidR="00785F22" w:rsidRDefault="00785F22" w:rsidP="00785F22"/>
    <w:p w14:paraId="4502DEA9"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Meta-analysis demonstrated a non-significant increase in CD4</w:t>
      </w:r>
    </w:p>
    <w:p w14:paraId="1A24DF26"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count of 48.32 cells/mm3 (95% CI: -6.60, 103.23, n=68) for</w:t>
      </w:r>
    </w:p>
    <w:p w14:paraId="139181E9"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participants in the PRE or combined PRE and aerobic exercise</w:t>
      </w:r>
    </w:p>
    <w:p w14:paraId="50317799"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intervention groups compared to non-exercising control groups.</w:t>
      </w:r>
    </w:p>
    <w:p w14:paraId="14C60C04"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(Lox, 1995, Rigsby 1992 &amp; Grinspoon 2000) (see Figure 01.01).</w:t>
      </w:r>
    </w:p>
    <w:p w14:paraId="0CC7AA5B"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The confidence interval demonstrates a positive trend towards improvement</w:t>
      </w:r>
    </w:p>
    <w:p w14:paraId="62DF21AC"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in CD4 count in the exercise groups. This improvement</w:t>
      </w:r>
    </w:p>
    <w:p w14:paraId="251BC1AA"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of 48.32 cells/mm3 represents a possible clinically important</w:t>
      </w:r>
    </w:p>
    <w:p w14:paraId="34E16C1A"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trend towards an improvement in CD4 count in the exercise</w:t>
      </w:r>
    </w:p>
    <w:p w14:paraId="46FCF703" w14:textId="77777777" w:rsidR="00785F22" w:rsidRDefault="00785F22" w:rsidP="00785F22">
      <w:pPr>
        <w:rPr>
          <w:rFonts w:ascii="AGaramond-Regular" w:hAnsi="AGaramond-Regular" w:cs="AGaramond-Regular"/>
          <w:sz w:val="18"/>
          <w:szCs w:val="18"/>
        </w:rPr>
      </w:pPr>
      <w:r>
        <w:rPr>
          <w:rFonts w:ascii="AGaramond-Regular" w:hAnsi="AGaramond-Regular" w:cs="AGaramond-Regular"/>
          <w:sz w:val="18"/>
          <w:szCs w:val="18"/>
        </w:rPr>
        <w:t>groups compared to the non-exercising control groups.</w:t>
      </w:r>
    </w:p>
    <w:p w14:paraId="719D188F" w14:textId="77777777" w:rsidR="00785F22" w:rsidRDefault="00785F22" w:rsidP="00785F22">
      <w:pPr>
        <w:rPr>
          <w:rFonts w:ascii="AGaramond-Regular" w:hAnsi="AGaramond-Regular" w:cs="AGaramond-Regular"/>
          <w:sz w:val="18"/>
          <w:szCs w:val="18"/>
        </w:rPr>
      </w:pPr>
    </w:p>
    <w:p w14:paraId="32C42A6C" w14:textId="77777777" w:rsidR="00785F22" w:rsidRDefault="00785F22" w:rsidP="00785F22">
      <w:pPr>
        <w:rPr>
          <w:rFonts w:ascii="AGaramond-Regular" w:hAnsi="AGaramond-Regular" w:cs="AGaramond-Regular"/>
          <w:sz w:val="18"/>
          <w:szCs w:val="18"/>
        </w:rPr>
      </w:pPr>
    </w:p>
    <w:p w14:paraId="2A9C5078" w14:textId="77777777" w:rsidR="00785F22" w:rsidRDefault="00785F22" w:rsidP="00785F22">
      <w:pPr>
        <w:rPr>
          <w:rFonts w:ascii="AGaramond-Regular" w:hAnsi="AGaramond-Regular" w:cs="AGaramond-Regular"/>
          <w:sz w:val="18"/>
          <w:szCs w:val="18"/>
        </w:rPr>
      </w:pPr>
    </w:p>
    <w:p w14:paraId="49C7E043"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No significant changes</w:t>
      </w:r>
    </w:p>
    <w:p w14:paraId="13F34DEC"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were seen with respect to CD4 count or viral load for exercisers</w:t>
      </w:r>
    </w:p>
    <w:p w14:paraId="78011991"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in the five studies that assessed these outcomes, although when</w:t>
      </w:r>
    </w:p>
    <w:p w14:paraId="5D3ED0C7"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combined, results of the meta-analysis indicated a non-significant</w:t>
      </w:r>
    </w:p>
    <w:p w14:paraId="4DDC3AEF" w14:textId="77777777" w:rsidR="00785F22" w:rsidRDefault="00785F22" w:rsidP="00785F22">
      <w:pPr>
        <w:rPr>
          <w:rFonts w:ascii="AGaramond-Regular" w:hAnsi="AGaramond-Regular" w:cs="AGaramond-Regular"/>
          <w:sz w:val="18"/>
          <w:szCs w:val="18"/>
        </w:rPr>
      </w:pPr>
      <w:r>
        <w:rPr>
          <w:rFonts w:ascii="AGaramond-Regular" w:hAnsi="AGaramond-Regular" w:cs="AGaramond-Regular"/>
          <w:sz w:val="18"/>
          <w:szCs w:val="18"/>
        </w:rPr>
        <w:t>trend towards an increase in CD4 count.</w:t>
      </w:r>
    </w:p>
    <w:p w14:paraId="14CDB818" w14:textId="77777777" w:rsidR="00785F22" w:rsidRDefault="00785F22" w:rsidP="00785F22">
      <w:pPr>
        <w:rPr>
          <w:rFonts w:ascii="AGaramond-Regular" w:hAnsi="AGaramond-Regular" w:cs="AGaramond-Regular"/>
          <w:sz w:val="18"/>
          <w:szCs w:val="18"/>
        </w:rPr>
      </w:pPr>
    </w:p>
    <w:p w14:paraId="331C3F52"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Lastly, results of meta-analysis that demonstrated</w:t>
      </w:r>
    </w:p>
    <w:p w14:paraId="5DB5F505"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no change in CD4 count suggest an element of safety with respect</w:t>
      </w:r>
    </w:p>
    <w:p w14:paraId="28859E8E" w14:textId="77777777" w:rsidR="00785F22" w:rsidRDefault="00785F22" w:rsidP="00785F22">
      <w:pPr>
        <w:rPr>
          <w:rFonts w:ascii="AGaramond-Regular" w:hAnsi="AGaramond-Regular" w:cs="AGaramond-Regular"/>
          <w:sz w:val="18"/>
          <w:szCs w:val="18"/>
        </w:rPr>
      </w:pPr>
      <w:r>
        <w:rPr>
          <w:rFonts w:ascii="AGaramond-Regular" w:hAnsi="AGaramond-Regular" w:cs="AGaramond-Regular"/>
          <w:sz w:val="18"/>
          <w:szCs w:val="18"/>
        </w:rPr>
        <w:t>to immune status for adults living with HIV/AIDS.</w:t>
      </w:r>
    </w:p>
    <w:p w14:paraId="292069FB" w14:textId="77777777" w:rsidR="00785F22" w:rsidRDefault="00785F22" w:rsidP="00785F22">
      <w:pPr>
        <w:rPr>
          <w:rFonts w:ascii="AGaramond-Regular" w:hAnsi="AGaramond-Regular" w:cs="AGaramond-Regular"/>
          <w:sz w:val="18"/>
          <w:szCs w:val="18"/>
        </w:rPr>
      </w:pPr>
    </w:p>
    <w:p w14:paraId="5B8E8518" w14:textId="77777777" w:rsidR="00785F22" w:rsidRDefault="00785F22" w:rsidP="00785F22">
      <w:pPr>
        <w:rPr>
          <w:rFonts w:ascii="AGaramond-Regular" w:hAnsi="AGaramond-Regular" w:cs="AGaramond-Regular"/>
          <w:sz w:val="18"/>
          <w:szCs w:val="18"/>
        </w:rPr>
      </w:pPr>
    </w:p>
    <w:p w14:paraId="0594CB6E" w14:textId="77777777" w:rsidR="00785F22" w:rsidRDefault="00785F22" w:rsidP="00785F22">
      <w:pPr>
        <w:rPr>
          <w:rFonts w:ascii="AGaramond-Regular" w:hAnsi="AGaramond-Regular" w:cs="AGaramond-Regular"/>
          <w:sz w:val="18"/>
          <w:szCs w:val="18"/>
        </w:rPr>
      </w:pPr>
    </w:p>
    <w:p w14:paraId="384CE90B" w14:textId="77777777" w:rsidR="00785F22" w:rsidRDefault="00785F22" w:rsidP="00785F22">
      <w:pPr>
        <w:rPr>
          <w:rFonts w:ascii="AGaramond-Regular" w:hAnsi="AGaramond-Regular" w:cs="AGaramond-Regular"/>
          <w:sz w:val="18"/>
          <w:szCs w:val="18"/>
        </w:rPr>
      </w:pPr>
    </w:p>
    <w:p w14:paraId="799519AB" w14:textId="77777777" w:rsidR="00785F22" w:rsidRDefault="00785F22" w:rsidP="00785F22">
      <w:pPr>
        <w:rPr>
          <w:rFonts w:ascii="AGaramond-Regular" w:hAnsi="AGaramond-Regular" w:cs="AGaramond-Regular"/>
          <w:sz w:val="18"/>
          <w:szCs w:val="18"/>
        </w:rPr>
      </w:pPr>
    </w:p>
    <w:p w14:paraId="6806AAAE" w14:textId="77777777" w:rsidR="00785F22" w:rsidRDefault="00785F22" w:rsidP="00785F22">
      <w:pPr>
        <w:rPr>
          <w:rFonts w:ascii="AGaramond-Regular" w:hAnsi="AGaramond-Regular" w:cs="AGaramond-Regular"/>
          <w:sz w:val="18"/>
          <w:szCs w:val="18"/>
        </w:rPr>
      </w:pPr>
    </w:p>
    <w:p w14:paraId="62CED543" w14:textId="77777777" w:rsidR="00785F22" w:rsidRDefault="00785F22" w:rsidP="00785F22">
      <w:pPr>
        <w:rPr>
          <w:rFonts w:ascii="AGaramond-Regular" w:hAnsi="AGaramond-Regular" w:cs="AGaramond-Regular"/>
          <w:sz w:val="18"/>
          <w:szCs w:val="18"/>
        </w:rPr>
      </w:pPr>
    </w:p>
    <w:p w14:paraId="33D85570" w14:textId="77777777" w:rsidR="00785F22" w:rsidRDefault="00785F22" w:rsidP="00785F22">
      <w:pPr>
        <w:rPr>
          <w:rFonts w:ascii="AGaramond-Regular" w:hAnsi="AGaramond-Regular" w:cs="AGaramond-Regular"/>
          <w:sz w:val="18"/>
          <w:szCs w:val="18"/>
        </w:rPr>
      </w:pPr>
    </w:p>
    <w:p w14:paraId="0D528B53" w14:textId="77777777" w:rsidR="00785F22" w:rsidRDefault="00785F22" w:rsidP="00785F22">
      <w:pPr>
        <w:rPr>
          <w:rFonts w:ascii="AGaramond-Regular" w:hAnsi="AGaramond-Regular" w:cs="AGaramond-Regular"/>
          <w:sz w:val="18"/>
          <w:szCs w:val="18"/>
        </w:rPr>
      </w:pPr>
    </w:p>
    <w:p w14:paraId="32B79644" w14:textId="77777777" w:rsidR="00785F22" w:rsidRDefault="00785F22" w:rsidP="00785F22">
      <w:pPr>
        <w:rPr>
          <w:rFonts w:ascii="AGaramond-Regular" w:hAnsi="AGaramond-Regular" w:cs="AGaramond-Regular"/>
          <w:sz w:val="18"/>
          <w:szCs w:val="18"/>
        </w:rPr>
      </w:pPr>
    </w:p>
    <w:p w14:paraId="480C8180" w14:textId="77777777" w:rsidR="00785F22" w:rsidRDefault="00785F22" w:rsidP="00785F22">
      <w:pPr>
        <w:rPr>
          <w:rFonts w:ascii="AGaramond-Regular" w:hAnsi="AGaramond-Regular" w:cs="AGaramond-Regular"/>
          <w:sz w:val="18"/>
          <w:szCs w:val="18"/>
        </w:rPr>
      </w:pPr>
    </w:p>
    <w:p w14:paraId="22D0DA54" w14:textId="77777777" w:rsidR="00785F22" w:rsidRDefault="00785F22" w:rsidP="00785F22">
      <w:pPr>
        <w:rPr>
          <w:rFonts w:ascii="AGaramond-Regular" w:hAnsi="AGaramond-Regular" w:cs="AGaramond-Regular"/>
          <w:sz w:val="18"/>
          <w:szCs w:val="18"/>
        </w:rPr>
      </w:pPr>
      <w:r>
        <w:rPr>
          <w:rFonts w:ascii="AGaramond-Regular" w:hAnsi="AGaramond-Regular" w:cs="AGaramond-Regular"/>
          <w:sz w:val="18"/>
          <w:szCs w:val="18"/>
        </w:rPr>
        <w:t>O’Brien 2010</w:t>
      </w:r>
    </w:p>
    <w:p w14:paraId="41547F4A" w14:textId="77777777" w:rsidR="00785F22" w:rsidRDefault="00785F22" w:rsidP="00785F22">
      <w:pPr>
        <w:rPr>
          <w:rFonts w:ascii="AGaramond-Regular" w:hAnsi="AGaramond-Regular" w:cs="AGaramond-Regular"/>
          <w:sz w:val="18"/>
          <w:szCs w:val="18"/>
        </w:rPr>
      </w:pPr>
    </w:p>
    <w:p w14:paraId="61A40B41" w14:textId="77777777" w:rsidR="00785F22" w:rsidRDefault="00785F22" w:rsidP="00785F22">
      <w:pPr>
        <w:rPr>
          <w:rFonts w:ascii="AGaramond-Regular" w:hAnsi="AGaramond-Regular" w:cs="AGaramond-Regular"/>
          <w:color w:val="000000"/>
          <w:sz w:val="18"/>
          <w:szCs w:val="18"/>
        </w:rPr>
      </w:pPr>
    </w:p>
    <w:p w14:paraId="6D50A07E"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All 14 of the included studies assessed immunologic or virologic</w:t>
      </w:r>
    </w:p>
    <w:p w14:paraId="4929E07C"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outcomes, or both, in the form of CD4 count (all 14 studies)</w:t>
      </w:r>
    </w:p>
    <w:p w14:paraId="6695BF4C"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or viral load (</w:t>
      </w:r>
      <w:r>
        <w:rPr>
          <w:rFonts w:ascii="AGaramond-Regular" w:hAnsi="AGaramond-Regular" w:cs="AGaramond-Regular"/>
          <w:color w:val="0000FF"/>
          <w:sz w:val="18"/>
          <w:szCs w:val="18"/>
        </w:rPr>
        <w:t>Stringer 1998</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Grinspoon 2000</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Smith 2001</w:t>
      </w:r>
      <w:r>
        <w:rPr>
          <w:rFonts w:ascii="AGaramond-Regular" w:hAnsi="AGaramond-Regular" w:cs="AGaramond-Regular"/>
          <w:color w:val="000000"/>
          <w:sz w:val="18"/>
          <w:szCs w:val="18"/>
        </w:rPr>
        <w:t>,</w:t>
      </w:r>
    </w:p>
    <w:p w14:paraId="19D8C70A" w14:textId="77777777" w:rsidR="00785F22" w:rsidRDefault="00785F22" w:rsidP="00785F22">
      <w:pPr>
        <w:rPr>
          <w:rFonts w:ascii="AGaramond-Regular" w:hAnsi="AGaramond-Regular" w:cs="AGaramond-Regular"/>
          <w:color w:val="000000"/>
          <w:sz w:val="18"/>
          <w:szCs w:val="18"/>
        </w:rPr>
      </w:pPr>
      <w:r>
        <w:rPr>
          <w:rFonts w:ascii="AGaramond-Regular" w:hAnsi="AGaramond-Regular" w:cs="AGaramond-Regular"/>
          <w:color w:val="0000FF"/>
          <w:sz w:val="18"/>
          <w:szCs w:val="18"/>
        </w:rPr>
        <w:t>Dolan 2006</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Driscoll 2004a</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Terry 2006</w:t>
      </w:r>
      <w:r>
        <w:rPr>
          <w:rFonts w:ascii="AGaramond-Regular" w:hAnsi="AGaramond-Regular" w:cs="AGaramond-Regular"/>
          <w:color w:val="000000"/>
          <w:sz w:val="18"/>
          <w:szCs w:val="18"/>
        </w:rPr>
        <w:t>).</w:t>
      </w:r>
    </w:p>
    <w:p w14:paraId="2C588AD9" w14:textId="77777777" w:rsidR="00785F22" w:rsidRDefault="00785F22" w:rsidP="00785F22">
      <w:pPr>
        <w:rPr>
          <w:rFonts w:ascii="AGaramond-Regular" w:hAnsi="AGaramond-Regular" w:cs="AGaramond-Regular"/>
          <w:color w:val="000000"/>
          <w:sz w:val="18"/>
          <w:szCs w:val="18"/>
        </w:rPr>
      </w:pPr>
    </w:p>
    <w:p w14:paraId="5BD373DB"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meta-analyses were completed in this review for immunologic</w:t>
      </w:r>
    </w:p>
    <w:p w14:paraId="5A108E45"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and virologic outcomes (CD4 count, CD4 percentage,</w:t>
      </w:r>
    </w:p>
    <w:p w14:paraId="482ED49E" w14:textId="77777777" w:rsidR="00785F22" w:rsidRDefault="00785F22" w:rsidP="00785F22">
      <w:pPr>
        <w:rPr>
          <w:rFonts w:ascii="AGaramond-Regular" w:hAnsi="AGaramond-Regular" w:cs="AGaramond-Regular"/>
          <w:sz w:val="18"/>
          <w:szCs w:val="18"/>
        </w:rPr>
      </w:pPr>
      <w:r>
        <w:rPr>
          <w:rFonts w:ascii="AGaramond-Regular" w:hAnsi="AGaramond-Regular" w:cs="AGaramond-Regular"/>
          <w:sz w:val="18"/>
          <w:szCs w:val="18"/>
        </w:rPr>
        <w:t>and viral load)</w:t>
      </w:r>
    </w:p>
    <w:p w14:paraId="479F8C49" w14:textId="77777777" w:rsidR="00785F22" w:rsidRDefault="00785F22" w:rsidP="00785F22">
      <w:pPr>
        <w:rPr>
          <w:rFonts w:ascii="AGaramond-Regular" w:hAnsi="AGaramond-Regular" w:cs="AGaramond-Regular"/>
          <w:sz w:val="18"/>
          <w:szCs w:val="18"/>
        </w:rPr>
      </w:pPr>
    </w:p>
    <w:p w14:paraId="4ED5B305"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Italic" w:hAnsi="AGaramond-Italic" w:cs="AGaramond-Italic"/>
          <w:i/>
          <w:iCs/>
          <w:sz w:val="18"/>
          <w:szCs w:val="18"/>
        </w:rPr>
        <w:t xml:space="preserve">Immunuological and virological outcomes: </w:t>
      </w:r>
      <w:r>
        <w:rPr>
          <w:rFonts w:ascii="AGaramond-Regular" w:hAnsi="AGaramond-Regular" w:cs="AGaramond-Regular"/>
          <w:sz w:val="18"/>
          <w:szCs w:val="18"/>
        </w:rPr>
        <w:t>50 cells/mm</w:t>
      </w:r>
      <w:r>
        <w:rPr>
          <w:rFonts w:ascii="AGaramond-Regular" w:hAnsi="AGaramond-Regular" w:cs="AGaramond-Regular"/>
          <w:sz w:val="13"/>
          <w:szCs w:val="13"/>
        </w:rPr>
        <w:t xml:space="preserve">3 </w:t>
      </w:r>
      <w:r>
        <w:rPr>
          <w:rFonts w:ascii="AGaramond-Regular" w:hAnsi="AGaramond-Regular" w:cs="AGaramond-Regular"/>
          <w:sz w:val="18"/>
          <w:szCs w:val="18"/>
        </w:rPr>
        <w:t>to indicate</w:t>
      </w:r>
    </w:p>
    <w:p w14:paraId="7741B33C"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a clinically important change in CD4 count, 5%to indicate a clinically</w:t>
      </w:r>
    </w:p>
    <w:p w14:paraId="2E85FEA2"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lastRenderedPageBreak/>
        <w:t>important change in CD4 percentage, 0.5 log</w:t>
      </w:r>
      <w:r>
        <w:rPr>
          <w:rFonts w:ascii="AGaramond-Regular" w:hAnsi="AGaramond-Regular" w:cs="AGaramond-Regular"/>
          <w:sz w:val="13"/>
          <w:szCs w:val="13"/>
        </w:rPr>
        <w:t>10</w:t>
      </w:r>
      <w:r>
        <w:rPr>
          <w:rFonts w:ascii="AGaramond-Regular" w:hAnsi="AGaramond-Regular" w:cs="AGaramond-Regular"/>
          <w:sz w:val="18"/>
          <w:szCs w:val="18"/>
        </w:rPr>
        <w:t>copies to indicate</w:t>
      </w:r>
    </w:p>
    <w:p w14:paraId="65864DD0" w14:textId="77777777" w:rsidR="00785F22" w:rsidRDefault="00785F22" w:rsidP="00785F22">
      <w:pPr>
        <w:rPr>
          <w:rFonts w:ascii="AGaramond-Regular" w:hAnsi="AGaramond-Regular" w:cs="AGaramond-Regular"/>
          <w:sz w:val="18"/>
          <w:szCs w:val="18"/>
        </w:rPr>
      </w:pPr>
      <w:r>
        <w:rPr>
          <w:rFonts w:ascii="AGaramond-Regular" w:hAnsi="AGaramond-Regular" w:cs="AGaramond-Regular"/>
          <w:sz w:val="18"/>
          <w:szCs w:val="18"/>
        </w:rPr>
        <w:t>a clinically important change in viral load;</w:t>
      </w:r>
    </w:p>
    <w:p w14:paraId="6C6410E8" w14:textId="77777777" w:rsidR="00785F22" w:rsidRDefault="00785F22" w:rsidP="00785F22">
      <w:pPr>
        <w:rPr>
          <w:rFonts w:ascii="AGaramond-Regular" w:hAnsi="AGaramond-Regular" w:cs="AGaramond-Regular"/>
          <w:sz w:val="18"/>
          <w:szCs w:val="18"/>
        </w:rPr>
      </w:pPr>
    </w:p>
    <w:p w14:paraId="55E98725" w14:textId="77777777" w:rsidR="00785F22" w:rsidRDefault="00785F22" w:rsidP="00785F22">
      <w:pPr>
        <w:autoSpaceDE w:val="0"/>
        <w:autoSpaceDN w:val="0"/>
        <w:adjustRightInd w:val="0"/>
        <w:rPr>
          <w:rFonts w:ascii="AGaramond-Bold" w:hAnsi="AGaramond-Bold" w:cs="AGaramond-Bold"/>
          <w:b/>
          <w:bCs/>
          <w:sz w:val="18"/>
          <w:szCs w:val="18"/>
        </w:rPr>
      </w:pPr>
      <w:r>
        <w:rPr>
          <w:rFonts w:ascii="AGaramond-Bold" w:hAnsi="AGaramond-Bold" w:cs="AGaramond-Bold"/>
          <w:b/>
          <w:bCs/>
          <w:sz w:val="18"/>
          <w:szCs w:val="18"/>
        </w:rPr>
        <w:t>A-1) CD4 count</w:t>
      </w:r>
    </w:p>
    <w:p w14:paraId="7AF281CF"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Fivemeta-analyseswere performed.Overall, no significant changes</w:t>
      </w:r>
    </w:p>
    <w:p w14:paraId="446AED91"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in CD4 count were found between comparison groups. Metaanalyses</w:t>
      </w:r>
    </w:p>
    <w:p w14:paraId="5528A7D2"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demonstrated no difference in change in CD4 count for</w:t>
      </w:r>
    </w:p>
    <w:p w14:paraId="13BAFC75"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participants in the exercise intervention group compared with the</w:t>
      </w:r>
    </w:p>
    <w:p w14:paraId="0773CDD4" w14:textId="77777777" w:rsidR="00785F22" w:rsidRDefault="00785F22" w:rsidP="00785F22">
      <w:pPr>
        <w:rPr>
          <w:rFonts w:ascii="AGaramond-Regular" w:hAnsi="AGaramond-Regular" w:cs="AGaramond-Regular"/>
          <w:sz w:val="18"/>
          <w:szCs w:val="18"/>
        </w:rPr>
      </w:pPr>
      <w:r>
        <w:rPr>
          <w:rFonts w:ascii="AGaramond-Regular" w:hAnsi="AGaramond-Regular" w:cs="AGaramond-Regular"/>
          <w:sz w:val="18"/>
          <w:szCs w:val="18"/>
        </w:rPr>
        <w:t>non-exercising control group (WMD: 18.08 cells/mm</w:t>
      </w:r>
      <w:r>
        <w:rPr>
          <w:rFonts w:ascii="AGaramond-Regular" w:hAnsi="AGaramond-Regular" w:cs="AGaramond-Regular"/>
          <w:sz w:val="13"/>
          <w:szCs w:val="13"/>
        </w:rPr>
        <w:t xml:space="preserve">3 </w:t>
      </w:r>
      <w:r>
        <w:rPr>
          <w:rFonts w:ascii="AGaramond-Regular" w:hAnsi="AGaramond-Regular" w:cs="AGaramond-Regular"/>
          <w:sz w:val="18"/>
          <w:szCs w:val="18"/>
        </w:rPr>
        <w:t>, 95%con-</w:t>
      </w:r>
    </w:p>
    <w:p w14:paraId="00ABEFC6" w14:textId="77777777" w:rsidR="00785F22" w:rsidRDefault="00785F22" w:rsidP="00785F22">
      <w:pPr>
        <w:autoSpaceDE w:val="0"/>
        <w:autoSpaceDN w:val="0"/>
        <w:adjustRightInd w:val="0"/>
        <w:rPr>
          <w:rFonts w:ascii="AGaramond-Regular" w:hAnsi="AGaramond-Regular" w:cs="AGaramond-Regular"/>
          <w:color w:val="0000FF"/>
          <w:sz w:val="18"/>
          <w:szCs w:val="18"/>
        </w:rPr>
      </w:pPr>
      <w:r>
        <w:rPr>
          <w:rFonts w:ascii="AGaramond-Regular" w:hAnsi="AGaramond-Regular" w:cs="AGaramond-Regular"/>
          <w:color w:val="000000"/>
          <w:sz w:val="18"/>
          <w:szCs w:val="18"/>
        </w:rPr>
        <w:t xml:space="preserve">fidence interval [CI]: -11.82, 47.99, n=306, </w:t>
      </w:r>
      <w:r>
        <w:rPr>
          <w:rFonts w:ascii="AGaramond-Italic" w:hAnsi="AGaramond-Italic" w:cs="AGaramond-Italic"/>
          <w:i/>
          <w:iCs/>
          <w:color w:val="000000"/>
          <w:sz w:val="18"/>
          <w:szCs w:val="18"/>
        </w:rPr>
        <w:t>P</w:t>
      </w:r>
      <w:r>
        <w:rPr>
          <w:rFonts w:ascii="AGaramond-Regular" w:hAnsi="AGaramond-Regular" w:cs="AGaramond-Regular"/>
          <w:color w:val="000000"/>
          <w:sz w:val="18"/>
          <w:szCs w:val="18"/>
        </w:rPr>
        <w:t>=0.24) (</w:t>
      </w:r>
      <w:r>
        <w:rPr>
          <w:rFonts w:ascii="AGaramond-Regular" w:hAnsi="AGaramond-Regular" w:cs="AGaramond-Regular"/>
          <w:color w:val="0000FF"/>
          <w:sz w:val="18"/>
          <w:szCs w:val="18"/>
        </w:rPr>
        <w:t>LaPerriere</w:t>
      </w:r>
    </w:p>
    <w:p w14:paraId="5F1A236B" w14:textId="77777777" w:rsidR="00785F22" w:rsidRDefault="00785F22" w:rsidP="00785F22">
      <w:pPr>
        <w:autoSpaceDE w:val="0"/>
        <w:autoSpaceDN w:val="0"/>
        <w:adjustRightInd w:val="0"/>
        <w:rPr>
          <w:rFonts w:ascii="AGaramond-Regular" w:hAnsi="AGaramond-Regular" w:cs="AGaramond-Regular"/>
          <w:color w:val="0000FF"/>
          <w:sz w:val="18"/>
          <w:szCs w:val="18"/>
        </w:rPr>
      </w:pPr>
      <w:r>
        <w:rPr>
          <w:rFonts w:ascii="AGaramond-Regular" w:hAnsi="AGaramond-Regular" w:cs="AGaramond-Regular"/>
          <w:color w:val="0000FF"/>
          <w:sz w:val="18"/>
          <w:szCs w:val="18"/>
        </w:rPr>
        <w:t>1990</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Perna 1999</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Smith 2001</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Stringer 1998</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Baigis 2002</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Lox</w:t>
      </w:r>
    </w:p>
    <w:p w14:paraId="08CDAB53"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1995</w:t>
      </w:r>
      <w:r>
        <w:rPr>
          <w:rFonts w:ascii="AGaramond-Regular" w:hAnsi="AGaramond-Regular" w:cs="AGaramond-Regular"/>
          <w:color w:val="000000"/>
          <w:sz w:val="18"/>
          <w:szCs w:val="18"/>
        </w:rPr>
        <w:t>,</w:t>
      </w:r>
      <w:r>
        <w:rPr>
          <w:rFonts w:ascii="AGaramond-Regular" w:hAnsi="AGaramond-Regular" w:cs="AGaramond-Regular"/>
          <w:color w:val="0000FF"/>
          <w:sz w:val="18"/>
          <w:szCs w:val="18"/>
        </w:rPr>
        <w:t>Mutimura 2008a</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Figure 1</w:t>
      </w:r>
      <w:r>
        <w:rPr>
          <w:rFonts w:ascii="AGaramond-Regular" w:hAnsi="AGaramond-Regular" w:cs="AGaramond-Regular"/>
          <w:color w:val="000000"/>
          <w:sz w:val="18"/>
          <w:szCs w:val="18"/>
        </w:rPr>
        <w:t>; no difference in change in CD4</w:t>
      </w:r>
    </w:p>
    <w:p w14:paraId="553239DC"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count for participants in the constant aerobic aerobic exercise</w:t>
      </w:r>
    </w:p>
    <w:p w14:paraId="02E29B4C"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group compared with the non-exercising control group (WMD:</w:t>
      </w:r>
    </w:p>
    <w:p w14:paraId="4A6C5513" w14:textId="77777777" w:rsidR="00785F22" w:rsidRDefault="00785F22" w:rsidP="00785F22">
      <w:pPr>
        <w:autoSpaceDE w:val="0"/>
        <w:autoSpaceDN w:val="0"/>
        <w:adjustRightInd w:val="0"/>
        <w:rPr>
          <w:rFonts w:ascii="AGaramond-Regular" w:hAnsi="AGaramond-Regular" w:cs="AGaramond-Regular"/>
          <w:color w:val="0000FF"/>
          <w:sz w:val="18"/>
          <w:szCs w:val="18"/>
        </w:rPr>
      </w:pPr>
      <w:r>
        <w:rPr>
          <w:rFonts w:ascii="AGaramond-Regular" w:hAnsi="AGaramond-Regular" w:cs="AGaramond-Regular"/>
          <w:color w:val="000000"/>
          <w:sz w:val="18"/>
          <w:szCs w:val="18"/>
        </w:rPr>
        <w:t>-3.11 cells/mm</w:t>
      </w:r>
      <w:r>
        <w:rPr>
          <w:rFonts w:ascii="AGaramond-Regular" w:hAnsi="AGaramond-Regular" w:cs="AGaramond-Regular"/>
          <w:color w:val="000000"/>
          <w:sz w:val="13"/>
          <w:szCs w:val="13"/>
        </w:rPr>
        <w:t>3</w:t>
      </w:r>
      <w:r>
        <w:rPr>
          <w:rFonts w:ascii="AGaramond-Regular" w:hAnsi="AGaramond-Regular" w:cs="AGaramond-Regular"/>
          <w:color w:val="000000"/>
          <w:sz w:val="18"/>
          <w:szCs w:val="18"/>
        </w:rPr>
        <w:t xml:space="preserve">, 95% CI: -31.06, 24.84, n=261, </w:t>
      </w:r>
      <w:r>
        <w:rPr>
          <w:rFonts w:ascii="AGaramond-Italic" w:hAnsi="AGaramond-Italic" w:cs="AGaramond-Italic"/>
          <w:i/>
          <w:iCs/>
          <w:color w:val="000000"/>
          <w:sz w:val="18"/>
          <w:szCs w:val="18"/>
        </w:rPr>
        <w:t>P</w:t>
      </w:r>
      <w:r>
        <w:rPr>
          <w:rFonts w:ascii="AGaramond-Regular" w:hAnsi="AGaramond-Regular" w:cs="AGaramond-Regular"/>
          <w:color w:val="000000"/>
          <w:sz w:val="18"/>
          <w:szCs w:val="18"/>
        </w:rPr>
        <w:t>=0.83) (</w:t>
      </w:r>
      <w:r>
        <w:rPr>
          <w:rFonts w:ascii="AGaramond-Regular" w:hAnsi="AGaramond-Regular" w:cs="AGaramond-Regular"/>
          <w:color w:val="0000FF"/>
          <w:sz w:val="18"/>
          <w:szCs w:val="18"/>
        </w:rPr>
        <w:t>Lox</w:t>
      </w:r>
    </w:p>
    <w:p w14:paraId="3908A906"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1995</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Stringer 1998</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Smith 2001</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Baigis 2002</w:t>
      </w:r>
      <w:r>
        <w:rPr>
          <w:rFonts w:ascii="AGaramond-Regular" w:hAnsi="AGaramond-Regular" w:cs="AGaramond-Regular"/>
          <w:color w:val="000000"/>
          <w:sz w:val="18"/>
          <w:szCs w:val="18"/>
        </w:rPr>
        <w:t>,</w:t>
      </w:r>
      <w:r>
        <w:rPr>
          <w:rFonts w:ascii="AGaramond-Regular" w:hAnsi="AGaramond-Regular" w:cs="AGaramond-Regular"/>
          <w:color w:val="0000FF"/>
          <w:sz w:val="18"/>
          <w:szCs w:val="18"/>
        </w:rPr>
        <w:t>Mutimura 2008a</w:t>
      </w:r>
      <w:r>
        <w:rPr>
          <w:rFonts w:ascii="AGaramond-Regular" w:hAnsi="AGaramond-Regular" w:cs="AGaramond-Regular"/>
          <w:color w:val="000000"/>
          <w:sz w:val="18"/>
          <w:szCs w:val="18"/>
        </w:rPr>
        <w:t>)</w:t>
      </w:r>
    </w:p>
    <w:p w14:paraId="1C4923F9"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w:t>
      </w:r>
      <w:r>
        <w:rPr>
          <w:rFonts w:ascii="AGaramond-Regular" w:hAnsi="AGaramond-Regular" w:cs="AGaramond-Regular"/>
          <w:color w:val="0000FF"/>
          <w:sz w:val="18"/>
          <w:szCs w:val="18"/>
        </w:rPr>
        <w:t>Figure 2</w:t>
      </w:r>
      <w:r>
        <w:rPr>
          <w:rFonts w:ascii="AGaramond-Regular" w:hAnsi="AGaramond-Regular" w:cs="AGaramond-Regular"/>
          <w:color w:val="000000"/>
          <w:sz w:val="18"/>
          <w:szCs w:val="18"/>
        </w:rPr>
        <w:t>); and a significant trend towards an improvement inCD4</w:t>
      </w:r>
    </w:p>
    <w:p w14:paraId="3CF5C44D"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count of 69.58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for participants in the interval aerobic</w:t>
      </w:r>
    </w:p>
    <w:p w14:paraId="3B788455"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exercise group compared with the non-exercising control group</w:t>
      </w:r>
    </w:p>
    <w:p w14:paraId="197979DD" w14:textId="77777777" w:rsidR="00785F22" w:rsidRDefault="00785F22" w:rsidP="00785F22">
      <w:pPr>
        <w:autoSpaceDE w:val="0"/>
        <w:autoSpaceDN w:val="0"/>
        <w:adjustRightInd w:val="0"/>
        <w:rPr>
          <w:rFonts w:ascii="AGaramond-Regular" w:hAnsi="AGaramond-Regular" w:cs="AGaramond-Regular"/>
          <w:color w:val="0000FF"/>
          <w:sz w:val="18"/>
          <w:szCs w:val="18"/>
        </w:rPr>
      </w:pPr>
      <w:r>
        <w:rPr>
          <w:rFonts w:ascii="AGaramond-Regular" w:hAnsi="AGaramond-Regular" w:cs="AGaramond-Regular"/>
          <w:color w:val="000000"/>
          <w:sz w:val="18"/>
          <w:szCs w:val="18"/>
        </w:rPr>
        <w:t xml:space="preserve">(95% CI: 14.08, 125.09, </w:t>
      </w:r>
      <w:r>
        <w:rPr>
          <w:rFonts w:ascii="AGaramond-Italic" w:hAnsi="AGaramond-Italic" w:cs="AGaramond-Italic"/>
          <w:i/>
          <w:iCs/>
          <w:color w:val="000000"/>
          <w:sz w:val="18"/>
          <w:szCs w:val="18"/>
        </w:rPr>
        <w:t>P</w:t>
      </w:r>
      <w:r>
        <w:rPr>
          <w:rFonts w:ascii="AGaramond-Regular" w:hAnsi="AGaramond-Regular" w:cs="AGaramond-Regular"/>
          <w:color w:val="000000"/>
          <w:sz w:val="18"/>
          <w:szCs w:val="18"/>
        </w:rPr>
        <w:t>=0.01, n=45) (</w:t>
      </w:r>
      <w:r>
        <w:rPr>
          <w:rFonts w:ascii="AGaramond-Regular" w:hAnsi="AGaramond-Regular" w:cs="AGaramond-Regular"/>
          <w:color w:val="0000FF"/>
          <w:sz w:val="18"/>
          <w:szCs w:val="18"/>
        </w:rPr>
        <w:t>LaPerriere 1990</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Perna</w:t>
      </w:r>
    </w:p>
    <w:p w14:paraId="6444C39D"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1999</w:t>
      </w:r>
      <w:r>
        <w:rPr>
          <w:rFonts w:ascii="AGaramond-Regular" w:hAnsi="AGaramond-Regular" w:cs="AGaramond-Regular"/>
          <w:color w:val="000000"/>
          <w:sz w:val="18"/>
          <w:szCs w:val="18"/>
        </w:rPr>
        <w:t>) (</w:t>
      </w:r>
      <w:r>
        <w:rPr>
          <w:rFonts w:ascii="AGaramond-Regular" w:hAnsi="AGaramond-Regular" w:cs="AGaramond-Regular"/>
          <w:color w:val="0000FF"/>
          <w:sz w:val="18"/>
          <w:szCs w:val="18"/>
        </w:rPr>
        <w:t>Figure 3</w:t>
      </w:r>
      <w:r>
        <w:rPr>
          <w:rFonts w:ascii="AGaramond-Regular" w:hAnsi="AGaramond-Regular" w:cs="AGaramond-Regular"/>
          <w:color w:val="000000"/>
          <w:sz w:val="18"/>
          <w:szCs w:val="18"/>
        </w:rPr>
        <w:t>). The point estimate is above 50 cells/mm</w:t>
      </w:r>
      <w:r>
        <w:rPr>
          <w:rFonts w:ascii="AGaramond-Regular" w:hAnsi="AGaramond-Regular" w:cs="AGaramond-Regular"/>
          <w:color w:val="000000"/>
          <w:sz w:val="13"/>
          <w:szCs w:val="13"/>
        </w:rPr>
        <w:t>3</w:t>
      </w:r>
      <w:r>
        <w:rPr>
          <w:rFonts w:ascii="AGaramond-Regular" w:hAnsi="AGaramond-Regular" w:cs="AGaramond-Regular"/>
          <w:color w:val="000000"/>
          <w:sz w:val="18"/>
          <w:szCs w:val="18"/>
        </w:rPr>
        <w:t>, which</w:t>
      </w:r>
    </w:p>
    <w:p w14:paraId="3D113DF2"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suggests a potential clinically important increase in CD4 count for</w:t>
      </w:r>
    </w:p>
    <w:p w14:paraId="59823392"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interval exercisers compared with non-exercisers. Results showed</w:t>
      </w:r>
    </w:p>
    <w:p w14:paraId="73014CE4"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no difference in change inCD4 count for participants exercising at</w:t>
      </w:r>
    </w:p>
    <w:p w14:paraId="13EFB367"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moderate intensity compared with participants exercising at heavy</w:t>
      </w:r>
    </w:p>
    <w:p w14:paraId="6DC23189"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intensity (WMD: -42.90 cells/mm</w:t>
      </w:r>
      <w:r>
        <w:rPr>
          <w:rFonts w:ascii="AGaramond-Regular" w:hAnsi="AGaramond-Regular" w:cs="AGaramond-Regular"/>
          <w:color w:val="000000"/>
          <w:sz w:val="13"/>
          <w:szCs w:val="13"/>
        </w:rPr>
        <w:t>3</w:t>
      </w:r>
      <w:r>
        <w:rPr>
          <w:rFonts w:ascii="AGaramond-Regular" w:hAnsi="AGaramond-Regular" w:cs="AGaramond-Regular"/>
          <w:color w:val="000000"/>
          <w:sz w:val="18"/>
          <w:szCs w:val="18"/>
        </w:rPr>
        <w:t>, 95% CI: -116.28, 30.47, n=</w:t>
      </w:r>
    </w:p>
    <w:p w14:paraId="4DF33AAC"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39, </w:t>
      </w:r>
      <w:r>
        <w:rPr>
          <w:rFonts w:ascii="AGaramond-Italic" w:hAnsi="AGaramond-Italic" w:cs="AGaramond-Italic"/>
          <w:i/>
          <w:iCs/>
          <w:color w:val="000000"/>
          <w:sz w:val="18"/>
          <w:szCs w:val="18"/>
        </w:rPr>
        <w:t>P</w:t>
      </w:r>
      <w:r>
        <w:rPr>
          <w:rFonts w:ascii="AGaramond-Regular" w:hAnsi="AGaramond-Regular" w:cs="AGaramond-Regular"/>
          <w:color w:val="000000"/>
          <w:sz w:val="18"/>
          <w:szCs w:val="18"/>
        </w:rPr>
        <w:t>=0.25) (</w:t>
      </w:r>
      <w:r>
        <w:rPr>
          <w:rFonts w:ascii="AGaramond-Regular" w:hAnsi="AGaramond-Regular" w:cs="AGaramond-Regular"/>
          <w:color w:val="0000FF"/>
          <w:sz w:val="18"/>
          <w:szCs w:val="18"/>
        </w:rPr>
        <w:t>Stringer 1998</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Terry 1999</w:t>
      </w:r>
      <w:r>
        <w:rPr>
          <w:rFonts w:ascii="AGaramond-Regular" w:hAnsi="AGaramond-Regular" w:cs="AGaramond-Regular"/>
          <w:color w:val="000000"/>
          <w:sz w:val="18"/>
          <w:szCs w:val="18"/>
        </w:rPr>
        <w:t>) (</w:t>
      </w:r>
      <w:r>
        <w:rPr>
          <w:rFonts w:ascii="AGaramond-Regular" w:hAnsi="AGaramond-Regular" w:cs="AGaramond-Regular"/>
          <w:color w:val="0000FF"/>
          <w:sz w:val="18"/>
          <w:szCs w:val="18"/>
        </w:rPr>
        <w:t>Figure 4</w:t>
      </w:r>
      <w:r>
        <w:rPr>
          <w:rFonts w:ascii="AGaramond-Regular" w:hAnsi="AGaramond-Regular" w:cs="AGaramond-Regular"/>
          <w:color w:val="000000"/>
          <w:sz w:val="18"/>
          <w:szCs w:val="18"/>
        </w:rPr>
        <w:t>) and no difference</w:t>
      </w:r>
    </w:p>
    <w:p w14:paraId="071EB387"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 change in CD4 count for participants in a combined</w:t>
      </w:r>
    </w:p>
    <w:p w14:paraId="3FD9E9C1"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aerobic and PRE group compared with the non-exercising control</w:t>
      </w:r>
    </w:p>
    <w:p w14:paraId="25E9754B"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lastRenderedPageBreak/>
        <w:t>group (WMD: 21.52 cells/mm</w:t>
      </w:r>
      <w:r>
        <w:rPr>
          <w:rFonts w:ascii="AGaramond-Regular" w:hAnsi="AGaramond-Regular" w:cs="AGaramond-Regular"/>
          <w:color w:val="000000"/>
          <w:sz w:val="13"/>
          <w:szCs w:val="13"/>
        </w:rPr>
        <w:t>3</w:t>
      </w:r>
      <w:r>
        <w:rPr>
          <w:rFonts w:ascii="AGaramond-Regular" w:hAnsi="AGaramond-Regular" w:cs="AGaramond-Regular"/>
          <w:color w:val="000000"/>
          <w:sz w:val="18"/>
          <w:szCs w:val="18"/>
        </w:rPr>
        <w:t>, 95% CI: -29.25, 72.28, n=84,</w:t>
      </w:r>
    </w:p>
    <w:p w14:paraId="08459278" w14:textId="77777777" w:rsidR="00785F22" w:rsidRDefault="00785F22" w:rsidP="00785F22">
      <w:pPr>
        <w:rPr>
          <w:rFonts w:ascii="AGaramond-Regular" w:hAnsi="AGaramond-Regular" w:cs="AGaramond-Regular"/>
          <w:color w:val="000000"/>
          <w:sz w:val="18"/>
          <w:szCs w:val="18"/>
        </w:rPr>
      </w:pPr>
      <w:r>
        <w:rPr>
          <w:rFonts w:ascii="AGaramond-Italic" w:hAnsi="AGaramond-Italic" w:cs="AGaramond-Italic"/>
          <w:i/>
          <w:iCs/>
          <w:color w:val="000000"/>
          <w:sz w:val="18"/>
          <w:szCs w:val="18"/>
        </w:rPr>
        <w:t>P</w:t>
      </w:r>
      <w:r>
        <w:rPr>
          <w:rFonts w:ascii="AGaramond-Regular" w:hAnsi="AGaramond-Regular" w:cs="AGaramond-Regular"/>
          <w:color w:val="000000"/>
          <w:sz w:val="18"/>
          <w:szCs w:val="18"/>
        </w:rPr>
        <w:t>=0.41) (</w:t>
      </w:r>
      <w:r>
        <w:rPr>
          <w:rFonts w:ascii="AGaramond-Regular" w:hAnsi="AGaramond-Regular" w:cs="AGaramond-Regular"/>
          <w:color w:val="0000FF"/>
          <w:sz w:val="18"/>
          <w:szCs w:val="18"/>
        </w:rPr>
        <w:t>Rigsby 1992</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Grinspoon 2000</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Dolan 2006</w:t>
      </w:r>
      <w:r>
        <w:rPr>
          <w:rFonts w:ascii="AGaramond-Regular" w:hAnsi="AGaramond-Regular" w:cs="AGaramond-Regular"/>
          <w:color w:val="000000"/>
          <w:sz w:val="18"/>
          <w:szCs w:val="18"/>
        </w:rPr>
        <w:t>) (</w:t>
      </w:r>
      <w:r>
        <w:rPr>
          <w:rFonts w:ascii="AGaramond-Regular" w:hAnsi="AGaramond-Regular" w:cs="AGaramond-Regular"/>
          <w:color w:val="0000FF"/>
          <w:sz w:val="18"/>
          <w:szCs w:val="18"/>
        </w:rPr>
        <w:t>Figure 5</w:t>
      </w:r>
      <w:r>
        <w:rPr>
          <w:rFonts w:ascii="AGaramond-Regular" w:hAnsi="AGaramond-Regular" w:cs="AGaramond-Regular"/>
          <w:color w:val="000000"/>
          <w:sz w:val="18"/>
          <w:szCs w:val="18"/>
        </w:rPr>
        <w:t>).</w:t>
      </w:r>
    </w:p>
    <w:p w14:paraId="7010BF5C" w14:textId="77777777" w:rsidR="00785F22" w:rsidRDefault="00785F22" w:rsidP="00785F22">
      <w:pPr>
        <w:rPr>
          <w:rFonts w:ascii="AGaramond-Regular" w:hAnsi="AGaramond-Regular" w:cs="AGaramond-Regular"/>
          <w:color w:val="000000"/>
          <w:sz w:val="18"/>
          <w:szCs w:val="18"/>
        </w:rPr>
      </w:pPr>
    </w:p>
    <w:p w14:paraId="4D8A2E59" w14:textId="77777777" w:rsidR="00785F22" w:rsidRDefault="00785F22" w:rsidP="00785F22">
      <w:pPr>
        <w:autoSpaceDE w:val="0"/>
        <w:autoSpaceDN w:val="0"/>
        <w:adjustRightInd w:val="0"/>
        <w:rPr>
          <w:rFonts w:ascii="AGaramond-Bold" w:hAnsi="AGaramond-Bold" w:cs="AGaramond-Bold"/>
          <w:b/>
          <w:bCs/>
          <w:color w:val="000000"/>
          <w:sz w:val="18"/>
          <w:szCs w:val="18"/>
        </w:rPr>
      </w:pPr>
      <w:r>
        <w:rPr>
          <w:rFonts w:ascii="AGaramond-Bold" w:hAnsi="AGaramond-Bold" w:cs="AGaramond-Bold"/>
          <w:b/>
          <w:bCs/>
          <w:color w:val="000000"/>
          <w:sz w:val="18"/>
          <w:szCs w:val="18"/>
        </w:rPr>
        <w:t>A-2) CD4 Percentage</w:t>
      </w:r>
    </w:p>
    <w:p w14:paraId="4920E4F9"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Two meta-analyses were performed for CD4 percentage that included</w:t>
      </w:r>
    </w:p>
    <w:p w14:paraId="0DFCF9BB"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the same studies. Meta-analyses demonstrated no difference</w:t>
      </w:r>
    </w:p>
    <w:p w14:paraId="3D05232C"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 change in CD4 percentage for participants in the exercise</w:t>
      </w:r>
    </w:p>
    <w:p w14:paraId="09231738"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intervention group compared with the non-exercising control</w:t>
      </w:r>
    </w:p>
    <w:p w14:paraId="223E76B8"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group as well as the constant aerobic exercise group compared with</w:t>
      </w:r>
    </w:p>
    <w:p w14:paraId="515D2D3C"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the non-exercising control (WMD: -0.33%, 95%CI: -1.98, 1.32,</w:t>
      </w:r>
    </w:p>
    <w:p w14:paraId="7E9D4011" w14:textId="77777777" w:rsidR="00785F22" w:rsidRDefault="00785F22" w:rsidP="00785F22">
      <w:pPr>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n=118, </w:t>
      </w:r>
      <w:r>
        <w:rPr>
          <w:rFonts w:ascii="AGaramond-Italic" w:hAnsi="AGaramond-Italic" w:cs="AGaramond-Italic"/>
          <w:i/>
          <w:iCs/>
          <w:color w:val="000000"/>
          <w:sz w:val="18"/>
          <w:szCs w:val="18"/>
        </w:rPr>
        <w:t>P</w:t>
      </w:r>
      <w:r>
        <w:rPr>
          <w:rFonts w:ascii="AGaramond-Regular" w:hAnsi="AGaramond-Regular" w:cs="AGaramond-Regular"/>
          <w:color w:val="000000"/>
          <w:sz w:val="18"/>
          <w:szCs w:val="18"/>
        </w:rPr>
        <w:t>=0.69) (</w:t>
      </w:r>
      <w:r>
        <w:rPr>
          <w:rFonts w:ascii="AGaramond-Regular" w:hAnsi="AGaramond-Regular" w:cs="AGaramond-Regular"/>
          <w:color w:val="0000FF"/>
          <w:sz w:val="18"/>
          <w:szCs w:val="18"/>
        </w:rPr>
        <w:t>Smith 2001</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Baigis 2002</w:t>
      </w:r>
      <w:r>
        <w:rPr>
          <w:rFonts w:ascii="AGaramond-Regular" w:hAnsi="AGaramond-Regular" w:cs="AGaramond-Regular"/>
          <w:color w:val="000000"/>
          <w:sz w:val="18"/>
          <w:szCs w:val="18"/>
        </w:rPr>
        <w:t>)</w:t>
      </w:r>
    </w:p>
    <w:p w14:paraId="71AFD43E" w14:textId="77777777" w:rsidR="00785F22" w:rsidRDefault="00785F22" w:rsidP="00785F22">
      <w:pPr>
        <w:rPr>
          <w:rFonts w:ascii="AGaramond-Regular" w:hAnsi="AGaramond-Regular" w:cs="AGaramond-Regular"/>
          <w:color w:val="000000"/>
          <w:sz w:val="18"/>
          <w:szCs w:val="18"/>
        </w:rPr>
      </w:pPr>
    </w:p>
    <w:p w14:paraId="016E4956"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 xml:space="preserve">Perna 1999 </w:t>
      </w:r>
      <w:r>
        <w:rPr>
          <w:rFonts w:ascii="AGaramond-Regular" w:hAnsi="AGaramond-Regular" w:cs="AGaramond-Regular"/>
          <w:color w:val="000000"/>
          <w:sz w:val="18"/>
          <w:szCs w:val="18"/>
        </w:rPr>
        <w:t>found the highest increase in CD4 count of 60 cells/</w:t>
      </w:r>
    </w:p>
    <w:p w14:paraId="7F0010A0"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compliant exercise group and a combined increase of 3</w:t>
      </w:r>
    </w:p>
    <w:p w14:paraId="408AC6A8"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combined compliant and non-compliant exercise</w:t>
      </w:r>
    </w:p>
    <w:p w14:paraId="26F3FC11"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intervention group compared to a decrease of 39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w:t>
      </w:r>
    </w:p>
    <w:p w14:paraId="7919D444"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non-exercising control group. LaPerriere 1990 showed an average</w:t>
      </w:r>
    </w:p>
    <w:p w14:paraId="6EF12877"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increase of 38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interval exercise group compared</w:t>
      </w:r>
    </w:p>
    <w:p w14:paraId="34AA4F7F"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to an average decrease of 61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non-exercising control</w:t>
      </w:r>
    </w:p>
    <w:p w14:paraId="04B89521" w14:textId="77777777" w:rsidR="00785F22" w:rsidRDefault="00785F22" w:rsidP="00785F22">
      <w:pPr>
        <w:autoSpaceDE w:val="0"/>
        <w:autoSpaceDN w:val="0"/>
        <w:adjustRightInd w:val="0"/>
        <w:rPr>
          <w:rFonts w:ascii="AGaramond-Regular" w:hAnsi="AGaramond-Regular" w:cs="AGaramond-Regular"/>
          <w:color w:val="000000"/>
          <w:sz w:val="13"/>
          <w:szCs w:val="13"/>
        </w:rPr>
      </w:pPr>
      <w:r>
        <w:rPr>
          <w:rFonts w:ascii="AGaramond-Regular" w:hAnsi="AGaramond-Regular" w:cs="AGaramond-Regular"/>
          <w:color w:val="000000"/>
          <w:sz w:val="18"/>
          <w:szCs w:val="18"/>
        </w:rPr>
        <w:t xml:space="preserve">group. </w:t>
      </w:r>
      <w:r>
        <w:rPr>
          <w:rFonts w:ascii="AGaramond-Regular" w:hAnsi="AGaramond-Regular" w:cs="AGaramond-Regular"/>
          <w:color w:val="0000FF"/>
          <w:sz w:val="18"/>
          <w:szCs w:val="18"/>
        </w:rPr>
        <w:t xml:space="preserve">Lox 1995 </w:t>
      </w:r>
      <w:r>
        <w:rPr>
          <w:rFonts w:ascii="AGaramond-Regular" w:hAnsi="AGaramond-Regular" w:cs="AGaramond-Regular"/>
          <w:color w:val="000000"/>
          <w:sz w:val="18"/>
          <w:szCs w:val="18"/>
        </w:rPr>
        <w:t>found an average increase of 9 cells/mm</w:t>
      </w:r>
      <w:r>
        <w:rPr>
          <w:rFonts w:ascii="AGaramond-Regular" w:hAnsi="AGaramond-Regular" w:cs="AGaramond-Regular"/>
          <w:color w:val="000000"/>
          <w:sz w:val="13"/>
          <w:szCs w:val="13"/>
        </w:rPr>
        <w:t>3</w:t>
      </w:r>
    </w:p>
    <w:p w14:paraId="383DCC3C"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 the exercise group and an average decrease of 78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w:t>
      </w:r>
    </w:p>
    <w:p w14:paraId="35D0EAF2"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the non-exercising control group. </w:t>
      </w:r>
      <w:r>
        <w:rPr>
          <w:rFonts w:ascii="AGaramond-Regular" w:hAnsi="AGaramond-Regular" w:cs="AGaramond-Regular"/>
          <w:color w:val="0000FF"/>
          <w:sz w:val="18"/>
          <w:szCs w:val="18"/>
        </w:rPr>
        <w:t xml:space="preserve">Baigis 2002 </w:t>
      </w:r>
      <w:r>
        <w:rPr>
          <w:rFonts w:ascii="AGaramond-Regular" w:hAnsi="AGaramond-Regular" w:cs="AGaramond-Regular"/>
          <w:color w:val="000000"/>
          <w:sz w:val="18"/>
          <w:szCs w:val="18"/>
        </w:rPr>
        <w:t>found an average</w:t>
      </w:r>
    </w:p>
    <w:p w14:paraId="2AD214E4"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increase of 13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exercise group compared to an average</w:t>
      </w:r>
    </w:p>
    <w:p w14:paraId="58783389"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decrease of 4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non-exercising control group.</w:t>
      </w:r>
    </w:p>
    <w:p w14:paraId="165DFE44"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 xml:space="preserve">Stringer 1998 </w:t>
      </w:r>
      <w:r>
        <w:rPr>
          <w:rFonts w:ascii="AGaramond-Regular" w:hAnsi="AGaramond-Regular" w:cs="AGaramond-Regular"/>
          <w:color w:val="000000"/>
          <w:sz w:val="18"/>
          <w:szCs w:val="18"/>
        </w:rPr>
        <w:t>found an increase of 13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moderateintensity</w:t>
      </w:r>
    </w:p>
    <w:p w14:paraId="2EF034F8"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exercise group of constant exercise and an average increase</w:t>
      </w:r>
    </w:p>
    <w:p w14:paraId="502CE5C2"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of 5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combined moderate- and heavy-intensity</w:t>
      </w:r>
    </w:p>
    <w:p w14:paraId="6577313F"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exercise groups compared to an increase of 18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w:t>
      </w:r>
    </w:p>
    <w:p w14:paraId="28A91BB3"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the non-exercising control group. </w:t>
      </w:r>
      <w:r>
        <w:rPr>
          <w:rFonts w:ascii="AGaramond-Regular" w:hAnsi="AGaramond-Regular" w:cs="AGaramond-Regular"/>
          <w:color w:val="0000FF"/>
          <w:sz w:val="18"/>
          <w:szCs w:val="18"/>
        </w:rPr>
        <w:t xml:space="preserve">Smith 2001 </w:t>
      </w:r>
      <w:r>
        <w:rPr>
          <w:rFonts w:ascii="AGaramond-Regular" w:hAnsi="AGaramond-Regular" w:cs="AGaramond-Regular"/>
          <w:color w:val="000000"/>
          <w:sz w:val="18"/>
          <w:szCs w:val="18"/>
        </w:rPr>
        <w:t>found an increase</w:t>
      </w:r>
    </w:p>
    <w:p w14:paraId="7A986562"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lastRenderedPageBreak/>
        <w:t>of 7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exercise group compared to an increase of</w:t>
      </w:r>
    </w:p>
    <w:p w14:paraId="43766C1E"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32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non-exercising control group. Results from</w:t>
      </w:r>
    </w:p>
    <w:p w14:paraId="311E9D21"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 xml:space="preserve">Stringer 1998 </w:t>
      </w:r>
      <w:r>
        <w:rPr>
          <w:rFonts w:ascii="AGaramond-Regular" w:hAnsi="AGaramond-Regular" w:cs="AGaramond-Regular"/>
          <w:color w:val="000000"/>
          <w:sz w:val="18"/>
          <w:szCs w:val="18"/>
        </w:rPr>
        <w:t xml:space="preserve">and </w:t>
      </w:r>
      <w:r>
        <w:rPr>
          <w:rFonts w:ascii="AGaramond-Regular" w:hAnsi="AGaramond-Regular" w:cs="AGaramond-Regular"/>
          <w:color w:val="0000FF"/>
          <w:sz w:val="18"/>
          <w:szCs w:val="18"/>
        </w:rPr>
        <w:t xml:space="preserve">Smith 2001 </w:t>
      </w:r>
      <w:r>
        <w:rPr>
          <w:rFonts w:ascii="AGaramond-Regular" w:hAnsi="AGaramond-Regular" w:cs="AGaramond-Regular"/>
          <w:color w:val="000000"/>
          <w:sz w:val="18"/>
          <w:szCs w:val="18"/>
        </w:rPr>
        <w:t>were statistically non-significant.</w:t>
      </w:r>
    </w:p>
    <w:p w14:paraId="7E7ED9D8"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 xml:space="preserve">Terry 1999 </w:t>
      </w:r>
      <w:r>
        <w:rPr>
          <w:rFonts w:ascii="AGaramond-Regular" w:hAnsi="AGaramond-Regular" w:cs="AGaramond-Regular"/>
          <w:color w:val="000000"/>
          <w:sz w:val="18"/>
          <w:szCs w:val="18"/>
        </w:rPr>
        <w:t>and MacArther 1993 found no significant changes</w:t>
      </w:r>
    </w:p>
    <w:p w14:paraId="63783205"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in CD4 count. </w:t>
      </w:r>
      <w:r>
        <w:rPr>
          <w:rFonts w:ascii="AGaramond-Regular" w:hAnsi="AGaramond-Regular" w:cs="AGaramond-Regular"/>
          <w:color w:val="0000FF"/>
          <w:sz w:val="18"/>
          <w:szCs w:val="18"/>
        </w:rPr>
        <w:t xml:space="preserve">Grinspoon 2000 </w:t>
      </w:r>
      <w:r>
        <w:rPr>
          <w:rFonts w:ascii="AGaramond-Regular" w:hAnsi="AGaramond-Regular" w:cs="AGaramond-Regular"/>
          <w:color w:val="000000"/>
          <w:sz w:val="18"/>
          <w:szCs w:val="18"/>
        </w:rPr>
        <w:t>found an average increase of 31</w:t>
      </w:r>
    </w:p>
    <w:p w14:paraId="1523E214"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exercise group compared to an average increase</w:t>
      </w:r>
    </w:p>
    <w:p w14:paraId="1CA4E133" w14:textId="77777777" w:rsidR="00785F22" w:rsidRDefault="00785F22" w:rsidP="00785F22">
      <w:pPr>
        <w:autoSpaceDE w:val="0"/>
        <w:autoSpaceDN w:val="0"/>
        <w:adjustRightInd w:val="0"/>
        <w:rPr>
          <w:rFonts w:ascii="AGaramond-Regular" w:hAnsi="AGaramond-Regular" w:cs="AGaramond-Regular"/>
          <w:color w:val="0000FF"/>
          <w:sz w:val="18"/>
          <w:szCs w:val="18"/>
        </w:rPr>
      </w:pPr>
      <w:r>
        <w:rPr>
          <w:rFonts w:ascii="AGaramond-Regular" w:hAnsi="AGaramond-Regular" w:cs="AGaramond-Regular"/>
          <w:color w:val="000000"/>
          <w:sz w:val="18"/>
          <w:szCs w:val="18"/>
        </w:rPr>
        <w:t>of 33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 xml:space="preserve">in the non-exercising control group. </w:t>
      </w:r>
      <w:r>
        <w:rPr>
          <w:rFonts w:ascii="AGaramond-Regular" w:hAnsi="AGaramond-Regular" w:cs="AGaramond-Regular"/>
          <w:color w:val="0000FF"/>
          <w:sz w:val="18"/>
          <w:szCs w:val="18"/>
        </w:rPr>
        <w:t>Rigsby 1992</w:t>
      </w:r>
    </w:p>
    <w:p w14:paraId="7C602363"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found an average increase of 58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exercise group</w:t>
      </w:r>
    </w:p>
    <w:p w14:paraId="0F3A8035"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compared to an average decrease of 2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non-exercising</w:t>
      </w:r>
    </w:p>
    <w:p w14:paraId="525532D1"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control group. These results were not statistically significant.</w:t>
      </w:r>
    </w:p>
    <w:p w14:paraId="298B534B"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 xml:space="preserve">Dolan 2006 </w:t>
      </w:r>
      <w:r>
        <w:rPr>
          <w:rFonts w:ascii="AGaramond-Regular" w:hAnsi="AGaramond-Regular" w:cs="AGaramond-Regular"/>
          <w:color w:val="000000"/>
          <w:sz w:val="18"/>
          <w:szCs w:val="18"/>
        </w:rPr>
        <w:t>found a non-significant increase of 8 cells/μL</w:t>
      </w:r>
    </w:p>
    <w:p w14:paraId="61073624"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and 11 cells/μL in the exercise group and non-exercising control</w:t>
      </w:r>
    </w:p>
    <w:p w14:paraId="6CB4F15F"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group, respectively. </w:t>
      </w:r>
      <w:r>
        <w:rPr>
          <w:rFonts w:ascii="AGaramond-Regular" w:hAnsi="AGaramond-Regular" w:cs="AGaramond-Regular"/>
          <w:color w:val="0000FF"/>
          <w:sz w:val="18"/>
          <w:szCs w:val="18"/>
        </w:rPr>
        <w:t xml:space="preserve">Terry 2006 </w:t>
      </w:r>
      <w:r>
        <w:rPr>
          <w:rFonts w:ascii="AGaramond-Regular" w:hAnsi="AGaramond-Regular" w:cs="AGaramond-Regular"/>
          <w:color w:val="000000"/>
          <w:sz w:val="18"/>
          <w:szCs w:val="18"/>
        </w:rPr>
        <w:t>reported a decrease in CD4 count</w:t>
      </w:r>
    </w:p>
    <w:p w14:paraId="749CB1BC" w14:textId="77777777" w:rsidR="00785F22" w:rsidRDefault="00785F22" w:rsidP="00785F22">
      <w:pPr>
        <w:autoSpaceDE w:val="0"/>
        <w:autoSpaceDN w:val="0"/>
        <w:adjustRightInd w:val="0"/>
        <w:rPr>
          <w:rFonts w:ascii="AGaramond-Regular" w:hAnsi="AGaramond-Regular" w:cs="AGaramond-Regular"/>
          <w:color w:val="000000"/>
          <w:sz w:val="13"/>
          <w:szCs w:val="13"/>
        </w:rPr>
      </w:pPr>
      <w:r>
        <w:rPr>
          <w:rFonts w:ascii="AGaramond-Regular" w:hAnsi="AGaramond-Regular" w:cs="AGaramond-Regular"/>
          <w:color w:val="000000"/>
          <w:sz w:val="18"/>
          <w:szCs w:val="18"/>
        </w:rPr>
        <w:t>in the combined exercise and low lipid diet group of 41 cells/mm</w:t>
      </w:r>
      <w:r>
        <w:rPr>
          <w:rFonts w:ascii="AGaramond-Regular" w:hAnsi="AGaramond-Regular" w:cs="AGaramond-Regular"/>
          <w:color w:val="000000"/>
          <w:sz w:val="13"/>
          <w:szCs w:val="13"/>
        </w:rPr>
        <w:t>3</w:t>
      </w:r>
    </w:p>
    <w:p w14:paraId="3A5B6C9D"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and an increase in the low lipid diet only group by 48 cells/mm</w:t>
      </w:r>
      <w:r>
        <w:rPr>
          <w:rFonts w:ascii="AGaramond-Regular" w:hAnsi="AGaramond-Regular" w:cs="AGaramond-Regular"/>
          <w:color w:val="000000"/>
          <w:sz w:val="13"/>
          <w:szCs w:val="13"/>
        </w:rPr>
        <w:t>3</w:t>
      </w:r>
      <w:r>
        <w:rPr>
          <w:rFonts w:ascii="AGaramond-Regular" w:hAnsi="AGaramond-Regular" w:cs="AGaramond-Regular"/>
          <w:color w:val="000000"/>
          <w:sz w:val="18"/>
          <w:szCs w:val="18"/>
        </w:rPr>
        <w:t>,</w:t>
      </w:r>
    </w:p>
    <w:p w14:paraId="60628B7D"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but these changes were not statistically significant. Driscoll 2004</w:t>
      </w:r>
    </w:p>
    <w:p w14:paraId="3F8E2D0D"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reported non-significantmedian increases inCD4 count of 59 and</w:t>
      </w:r>
    </w:p>
    <w:p w14:paraId="4C63221D"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42 cells/mm</w:t>
      </w:r>
      <w:r>
        <w:rPr>
          <w:rFonts w:ascii="AGaramond-Regular" w:hAnsi="AGaramond-Regular" w:cs="AGaramond-Regular"/>
          <w:color w:val="000000"/>
          <w:sz w:val="13"/>
          <w:szCs w:val="13"/>
        </w:rPr>
        <w:t xml:space="preserve">3 </w:t>
      </w:r>
      <w:r>
        <w:rPr>
          <w:rFonts w:ascii="AGaramond-Regular" w:hAnsi="AGaramond-Regular" w:cs="AGaramond-Regular"/>
          <w:color w:val="000000"/>
          <w:sz w:val="18"/>
          <w:szCs w:val="18"/>
        </w:rPr>
        <w:t>in the combined exercise and metformin group and</w:t>
      </w:r>
    </w:p>
    <w:p w14:paraId="12209CF0"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the metformin only group, respectively. </w:t>
      </w:r>
      <w:r>
        <w:rPr>
          <w:rFonts w:ascii="AGaramond-Regular" w:hAnsi="AGaramond-Regular" w:cs="AGaramond-Regular"/>
          <w:color w:val="0000FF"/>
          <w:sz w:val="18"/>
          <w:szCs w:val="18"/>
        </w:rPr>
        <w:t xml:space="preserve">Mutimura 2008a </w:t>
      </w:r>
      <w:r>
        <w:rPr>
          <w:rFonts w:ascii="AGaramond-Regular" w:hAnsi="AGaramond-Regular" w:cs="AGaramond-Regular"/>
          <w:color w:val="000000"/>
          <w:sz w:val="18"/>
          <w:szCs w:val="18"/>
        </w:rPr>
        <w:t>found</w:t>
      </w:r>
    </w:p>
    <w:p w14:paraId="083153F8"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that the increase in CD4 count in the exercise group (19 cells/</w:t>
      </w:r>
    </w:p>
    <w:p w14:paraId="676F0E15"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μL) was not significantly different from that in the non-exercising</w:t>
      </w:r>
    </w:p>
    <w:p w14:paraId="2A7C364A" w14:textId="77777777" w:rsidR="00785F22" w:rsidRDefault="00785F22" w:rsidP="00785F22">
      <w:pPr>
        <w:rPr>
          <w:rFonts w:ascii="AGaramond-Regular" w:hAnsi="AGaramond-Regular" w:cs="AGaramond-Regular"/>
          <w:color w:val="000000"/>
          <w:sz w:val="18"/>
          <w:szCs w:val="18"/>
        </w:rPr>
      </w:pPr>
      <w:r>
        <w:rPr>
          <w:rFonts w:ascii="AGaramond-Regular" w:hAnsi="AGaramond-Regular" w:cs="AGaramond-Regular"/>
          <w:color w:val="000000"/>
          <w:sz w:val="18"/>
          <w:szCs w:val="18"/>
        </w:rPr>
        <w:t>control group (34 cells/μL).</w:t>
      </w:r>
    </w:p>
    <w:p w14:paraId="7A3B759E" w14:textId="77777777" w:rsidR="00785F22" w:rsidRDefault="00785F22" w:rsidP="00785F22">
      <w:pPr>
        <w:rPr>
          <w:rFonts w:ascii="AGaramond-Regular" w:hAnsi="AGaramond-Regular" w:cs="AGaramond-Regular"/>
          <w:color w:val="000000"/>
          <w:sz w:val="18"/>
          <w:szCs w:val="18"/>
        </w:rPr>
      </w:pPr>
    </w:p>
    <w:p w14:paraId="561C2C34" w14:textId="77777777" w:rsidR="00785F22" w:rsidRDefault="00785F22" w:rsidP="00785F22">
      <w:pPr>
        <w:autoSpaceDE w:val="0"/>
        <w:autoSpaceDN w:val="0"/>
        <w:adjustRightInd w:val="0"/>
        <w:rPr>
          <w:rFonts w:ascii="AGaramond-Bold" w:hAnsi="AGaramond-Bold" w:cs="AGaramond-Bold"/>
          <w:b/>
          <w:bCs/>
          <w:color w:val="000000"/>
          <w:sz w:val="18"/>
          <w:szCs w:val="18"/>
        </w:rPr>
      </w:pPr>
      <w:r>
        <w:rPr>
          <w:rFonts w:ascii="AGaramond-Bold" w:hAnsi="AGaramond-Bold" w:cs="AGaramond-Bold"/>
          <w:b/>
          <w:bCs/>
          <w:color w:val="000000"/>
          <w:sz w:val="18"/>
          <w:szCs w:val="18"/>
        </w:rPr>
        <w:t>A-3) Viral Load</w:t>
      </w:r>
    </w:p>
    <w:p w14:paraId="11D89FD5"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Three meta-analyses were performed for viral load, of which two</w:t>
      </w:r>
    </w:p>
    <w:p w14:paraId="3E787928"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included the same studies. Meta-analysis demonstrated no difference</w:t>
      </w:r>
    </w:p>
    <w:p w14:paraId="2ECCD803"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 change in viral load for participants in the exercise intervention</w:t>
      </w:r>
    </w:p>
    <w:p w14:paraId="0387B4D3"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group compared with the non-exercising control group</w:t>
      </w:r>
    </w:p>
    <w:p w14:paraId="0830ABF1"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as well as the constant aerobic exercise group compared with the</w:t>
      </w:r>
    </w:p>
    <w:p w14:paraId="4E40F33F"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lastRenderedPageBreak/>
        <w:t>non-exercising control group (WMD: 0.40 log</w:t>
      </w:r>
      <w:r>
        <w:rPr>
          <w:rFonts w:ascii="AGaramond-Regular" w:hAnsi="AGaramond-Regular" w:cs="AGaramond-Regular"/>
          <w:color w:val="000000"/>
          <w:sz w:val="13"/>
          <w:szCs w:val="13"/>
        </w:rPr>
        <w:t>10</w:t>
      </w:r>
      <w:r>
        <w:rPr>
          <w:rFonts w:ascii="AGaramond-Regular" w:hAnsi="AGaramond-Regular" w:cs="AGaramond-Regular"/>
          <w:color w:val="000000"/>
          <w:sz w:val="18"/>
          <w:szCs w:val="18"/>
        </w:rPr>
        <w:t>copies, 95% CI:</w:t>
      </w:r>
    </w:p>
    <w:p w14:paraId="2CC0A8A8" w14:textId="77777777" w:rsidR="00785F22" w:rsidRDefault="00785F22" w:rsidP="00785F22">
      <w:pPr>
        <w:autoSpaceDE w:val="0"/>
        <w:autoSpaceDN w:val="0"/>
        <w:adjustRightInd w:val="0"/>
        <w:rPr>
          <w:rFonts w:ascii="AGaramond-Regular" w:hAnsi="AGaramond-Regular" w:cs="AGaramond-Regular"/>
          <w:color w:val="0000FF"/>
          <w:sz w:val="18"/>
          <w:szCs w:val="18"/>
        </w:rPr>
      </w:pPr>
      <w:r>
        <w:rPr>
          <w:rFonts w:ascii="AGaramond-Regular" w:hAnsi="AGaramond-Regular" w:cs="AGaramond-Regular"/>
          <w:color w:val="000000"/>
          <w:sz w:val="18"/>
          <w:szCs w:val="18"/>
        </w:rPr>
        <w:t xml:space="preserve">-0.28, 1.07, n=63, </w:t>
      </w:r>
      <w:r>
        <w:rPr>
          <w:rFonts w:ascii="AGaramond-Italic" w:hAnsi="AGaramond-Italic" w:cs="AGaramond-Italic"/>
          <w:i/>
          <w:iCs/>
          <w:color w:val="000000"/>
          <w:sz w:val="18"/>
          <w:szCs w:val="18"/>
        </w:rPr>
        <w:t>P</w:t>
      </w:r>
      <w:r>
        <w:rPr>
          <w:rFonts w:ascii="AGaramond-Regular" w:hAnsi="AGaramond-Regular" w:cs="AGaramond-Regular"/>
          <w:color w:val="000000"/>
          <w:sz w:val="18"/>
          <w:szCs w:val="18"/>
        </w:rPr>
        <w:t>=0.25) (</w:t>
      </w:r>
      <w:r>
        <w:rPr>
          <w:rFonts w:ascii="AGaramond-Regular" w:hAnsi="AGaramond-Regular" w:cs="AGaramond-Regular"/>
          <w:color w:val="0000FF"/>
          <w:sz w:val="18"/>
          <w:szCs w:val="18"/>
        </w:rPr>
        <w:t>Smith 2001</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Stringer 1998</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Figure</w:t>
      </w:r>
    </w:p>
    <w:p w14:paraId="7612F6AA"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8</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Figure 9</w:t>
      </w:r>
      <w:r>
        <w:rPr>
          <w:rFonts w:ascii="AGaramond-Regular" w:hAnsi="AGaramond-Regular" w:cs="AGaramond-Regular"/>
          <w:color w:val="000000"/>
          <w:sz w:val="18"/>
          <w:szCs w:val="18"/>
        </w:rPr>
        <w:t>; and no difference in the combined aerobic and PRE</w:t>
      </w:r>
    </w:p>
    <w:p w14:paraId="508DDC75"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group compared with the non-exercising control group (WMD:</w:t>
      </w:r>
    </w:p>
    <w:p w14:paraId="6D4F425A" w14:textId="77777777" w:rsidR="00785F22" w:rsidRDefault="00785F22" w:rsidP="00785F22">
      <w:pPr>
        <w:autoSpaceDE w:val="0"/>
        <w:autoSpaceDN w:val="0"/>
        <w:adjustRightInd w:val="0"/>
        <w:rPr>
          <w:rFonts w:ascii="AGaramond-Regular" w:hAnsi="AGaramond-Regular" w:cs="AGaramond-Regular"/>
          <w:color w:val="0000FF"/>
          <w:sz w:val="18"/>
          <w:szCs w:val="18"/>
        </w:rPr>
      </w:pPr>
      <w:r>
        <w:rPr>
          <w:rFonts w:ascii="AGaramond-Regular" w:hAnsi="AGaramond-Regular" w:cs="AGaramond-Regular"/>
          <w:color w:val="000000"/>
          <w:sz w:val="18"/>
          <w:szCs w:val="18"/>
        </w:rPr>
        <w:t>0.31 log</w:t>
      </w:r>
      <w:r>
        <w:rPr>
          <w:rFonts w:ascii="AGaramond-Regular" w:hAnsi="AGaramond-Regular" w:cs="AGaramond-Regular"/>
          <w:color w:val="000000"/>
          <w:sz w:val="13"/>
          <w:szCs w:val="13"/>
        </w:rPr>
        <w:t>10</w:t>
      </w:r>
      <w:r>
        <w:rPr>
          <w:rFonts w:ascii="AGaramond-Regular" w:hAnsi="AGaramond-Regular" w:cs="AGaramond-Regular"/>
          <w:color w:val="000000"/>
          <w:sz w:val="18"/>
          <w:szCs w:val="18"/>
        </w:rPr>
        <w:t xml:space="preserve">copies, 95%CI: -0.13, 0.74, n=60, </w:t>
      </w:r>
      <w:r>
        <w:rPr>
          <w:rFonts w:ascii="AGaramond-Italic" w:hAnsi="AGaramond-Italic" w:cs="AGaramond-Italic"/>
          <w:i/>
          <w:iCs/>
          <w:color w:val="000000"/>
          <w:sz w:val="18"/>
          <w:szCs w:val="18"/>
        </w:rPr>
        <w:t>P</w:t>
      </w:r>
      <w:r>
        <w:rPr>
          <w:rFonts w:ascii="AGaramond-Regular" w:hAnsi="AGaramond-Regular" w:cs="AGaramond-Regular"/>
          <w:color w:val="000000"/>
          <w:sz w:val="18"/>
          <w:szCs w:val="18"/>
        </w:rPr>
        <w:t>=0.17) (</w:t>
      </w:r>
      <w:r>
        <w:rPr>
          <w:rFonts w:ascii="AGaramond-Regular" w:hAnsi="AGaramond-Regular" w:cs="AGaramond-Regular"/>
          <w:color w:val="0000FF"/>
          <w:sz w:val="18"/>
          <w:szCs w:val="18"/>
        </w:rPr>
        <w:t>Grinspoon</w:t>
      </w:r>
    </w:p>
    <w:p w14:paraId="14B16C56" w14:textId="77777777" w:rsidR="00785F22" w:rsidRDefault="00785F22" w:rsidP="00785F22">
      <w:pPr>
        <w:rPr>
          <w:rFonts w:ascii="AGaramond-Regular" w:hAnsi="AGaramond-Regular" w:cs="AGaramond-Regular"/>
          <w:color w:val="000000"/>
          <w:sz w:val="18"/>
          <w:szCs w:val="18"/>
        </w:rPr>
      </w:pPr>
      <w:r>
        <w:rPr>
          <w:rFonts w:ascii="AGaramond-Regular" w:hAnsi="AGaramond-Regular" w:cs="AGaramond-Regular"/>
          <w:color w:val="0000FF"/>
          <w:sz w:val="18"/>
          <w:szCs w:val="18"/>
        </w:rPr>
        <w:t>2000</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Dolan 2006</w:t>
      </w:r>
      <w:r>
        <w:rPr>
          <w:rFonts w:ascii="AGaramond-Regular" w:hAnsi="AGaramond-Regular" w:cs="AGaramond-Regular"/>
          <w:color w:val="000000"/>
          <w:sz w:val="18"/>
          <w:szCs w:val="18"/>
        </w:rPr>
        <w:t>)</w:t>
      </w:r>
    </w:p>
    <w:p w14:paraId="7595D99C" w14:textId="77777777" w:rsidR="00785F22" w:rsidRDefault="00785F22" w:rsidP="00785F22">
      <w:pPr>
        <w:rPr>
          <w:rFonts w:ascii="AGaramond-Regular" w:hAnsi="AGaramond-Regular" w:cs="AGaramond-Regular"/>
          <w:color w:val="000000"/>
          <w:sz w:val="18"/>
          <w:szCs w:val="18"/>
        </w:rPr>
      </w:pPr>
    </w:p>
    <w:p w14:paraId="10CA229F" w14:textId="77777777" w:rsidR="00785F22" w:rsidRDefault="00785F22" w:rsidP="00785F22">
      <w:pPr>
        <w:autoSpaceDE w:val="0"/>
        <w:autoSpaceDN w:val="0"/>
        <w:adjustRightInd w:val="0"/>
        <w:rPr>
          <w:rFonts w:ascii="AGaramond-Bold" w:hAnsi="AGaramond-Bold" w:cs="AGaramond-Bold"/>
          <w:b/>
          <w:bCs/>
          <w:color w:val="000000"/>
          <w:sz w:val="18"/>
          <w:szCs w:val="18"/>
        </w:rPr>
      </w:pPr>
      <w:r>
        <w:rPr>
          <w:rFonts w:ascii="AGaramond-Bold" w:hAnsi="AGaramond-Bold" w:cs="AGaramond-Bold"/>
          <w:b/>
          <w:bCs/>
          <w:color w:val="000000"/>
          <w:sz w:val="18"/>
          <w:szCs w:val="18"/>
        </w:rPr>
        <w:t>Individual Study Results - Viral Load</w:t>
      </w:r>
    </w:p>
    <w:p w14:paraId="359EE56F"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 xml:space="preserve">Stringer 1998 </w:t>
      </w:r>
      <w:r>
        <w:rPr>
          <w:rFonts w:ascii="AGaramond-Regular" w:hAnsi="AGaramond-Regular" w:cs="AGaramond-Regular"/>
          <w:color w:val="000000"/>
          <w:sz w:val="18"/>
          <w:szCs w:val="18"/>
        </w:rPr>
        <w:t>found an average decrease of 0.65 log</w:t>
      </w:r>
      <w:r>
        <w:rPr>
          <w:rFonts w:ascii="AGaramond-Regular" w:hAnsi="AGaramond-Regular" w:cs="AGaramond-Regular"/>
          <w:color w:val="000000"/>
          <w:sz w:val="13"/>
          <w:szCs w:val="13"/>
        </w:rPr>
        <w:t>10</w:t>
      </w:r>
      <w:r>
        <w:rPr>
          <w:rFonts w:ascii="AGaramond-Regular" w:hAnsi="AGaramond-Regular" w:cs="AGaramond-Regular"/>
          <w:color w:val="000000"/>
          <w:sz w:val="18"/>
          <w:szCs w:val="18"/>
        </w:rPr>
        <w:t>copies in the</w:t>
      </w:r>
    </w:p>
    <w:p w14:paraId="2BD4AB97"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combinedmoderate- and heavy-intensity exercise groups versus an</w:t>
      </w:r>
    </w:p>
    <w:p w14:paraId="18C798A6"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average decrease of 0.30 log</w:t>
      </w:r>
      <w:r>
        <w:rPr>
          <w:rFonts w:ascii="AGaramond-Regular" w:hAnsi="AGaramond-Regular" w:cs="AGaramond-Regular"/>
          <w:color w:val="000000"/>
          <w:sz w:val="13"/>
          <w:szCs w:val="13"/>
        </w:rPr>
        <w:t>10</w:t>
      </w:r>
      <w:r>
        <w:rPr>
          <w:rFonts w:ascii="AGaramond-Regular" w:hAnsi="AGaramond-Regular" w:cs="AGaramond-Regular"/>
          <w:color w:val="000000"/>
          <w:sz w:val="18"/>
          <w:szCs w:val="18"/>
        </w:rPr>
        <w:t>copies in the non-exercising control</w:t>
      </w:r>
    </w:p>
    <w:p w14:paraId="3C37D526"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group. The largest decrease in viral load was seen in the moderateexercise</w:t>
      </w:r>
    </w:p>
    <w:p w14:paraId="44F8D92A" w14:textId="77777777" w:rsidR="00785F22" w:rsidRDefault="00785F22" w:rsidP="00785F22">
      <w:pPr>
        <w:autoSpaceDE w:val="0"/>
        <w:autoSpaceDN w:val="0"/>
        <w:adjustRightInd w:val="0"/>
        <w:rPr>
          <w:rFonts w:ascii="AGaramond-Regular" w:hAnsi="AGaramond-Regular" w:cs="AGaramond-Regular"/>
          <w:color w:val="0000FF"/>
          <w:sz w:val="18"/>
          <w:szCs w:val="18"/>
        </w:rPr>
      </w:pPr>
      <w:r>
        <w:rPr>
          <w:rFonts w:ascii="AGaramond-Regular" w:hAnsi="AGaramond-Regular" w:cs="AGaramond-Regular"/>
          <w:color w:val="000000"/>
          <w:sz w:val="18"/>
          <w:szCs w:val="18"/>
        </w:rPr>
        <w:t>group with an average decrease of 0.9 log</w:t>
      </w:r>
      <w:r>
        <w:rPr>
          <w:rFonts w:ascii="AGaramond-Regular" w:hAnsi="AGaramond-Regular" w:cs="AGaramond-Regular"/>
          <w:color w:val="000000"/>
          <w:sz w:val="13"/>
          <w:szCs w:val="13"/>
        </w:rPr>
        <w:t>10</w:t>
      </w:r>
      <w:r>
        <w:rPr>
          <w:rFonts w:ascii="AGaramond-Regular" w:hAnsi="AGaramond-Regular" w:cs="AGaramond-Regular"/>
          <w:color w:val="000000"/>
          <w:sz w:val="18"/>
          <w:szCs w:val="18"/>
        </w:rPr>
        <w:t xml:space="preserve">copies. </w:t>
      </w:r>
      <w:r>
        <w:rPr>
          <w:rFonts w:ascii="AGaramond-Regular" w:hAnsi="AGaramond-Regular" w:cs="AGaramond-Regular"/>
          <w:color w:val="0000FF"/>
          <w:sz w:val="18"/>
          <w:szCs w:val="18"/>
        </w:rPr>
        <w:t>Smith</w:t>
      </w:r>
    </w:p>
    <w:p w14:paraId="19AFE93E"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FF"/>
          <w:sz w:val="18"/>
          <w:szCs w:val="18"/>
        </w:rPr>
        <w:t xml:space="preserve">2001 </w:t>
      </w:r>
      <w:r>
        <w:rPr>
          <w:rFonts w:ascii="AGaramond-Regular" w:hAnsi="AGaramond-Regular" w:cs="AGaramond-Regular"/>
          <w:color w:val="000000"/>
          <w:sz w:val="18"/>
          <w:szCs w:val="18"/>
        </w:rPr>
        <w:t>found an average increase of 0.10 log</w:t>
      </w:r>
      <w:r>
        <w:rPr>
          <w:rFonts w:ascii="AGaramond-Regular" w:hAnsi="AGaramond-Regular" w:cs="AGaramond-Regular"/>
          <w:color w:val="000000"/>
          <w:sz w:val="13"/>
          <w:szCs w:val="13"/>
        </w:rPr>
        <w:t>10</w:t>
      </w:r>
      <w:r>
        <w:rPr>
          <w:rFonts w:ascii="AGaramond-Regular" w:hAnsi="AGaramond-Regular" w:cs="AGaramond-Regular"/>
          <w:color w:val="000000"/>
          <w:sz w:val="18"/>
          <w:szCs w:val="18"/>
        </w:rPr>
        <w:t>copies in the exercise</w:t>
      </w:r>
    </w:p>
    <w:p w14:paraId="0C939FDB"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group compared to an average decrease of 0.30 log</w:t>
      </w:r>
      <w:r>
        <w:rPr>
          <w:rFonts w:ascii="AGaramond-Regular" w:hAnsi="AGaramond-Regular" w:cs="AGaramond-Regular"/>
          <w:color w:val="000000"/>
          <w:sz w:val="13"/>
          <w:szCs w:val="13"/>
        </w:rPr>
        <w:t>10</w:t>
      </w:r>
      <w:r>
        <w:rPr>
          <w:rFonts w:ascii="AGaramond-Regular" w:hAnsi="AGaramond-Regular" w:cs="AGaramond-Regular"/>
          <w:color w:val="000000"/>
          <w:sz w:val="18"/>
          <w:szCs w:val="18"/>
        </w:rPr>
        <w:t>copies in the</w:t>
      </w:r>
    </w:p>
    <w:p w14:paraId="16684E1B"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non-exercising control group. Results from both of these studies</w:t>
      </w:r>
    </w:p>
    <w:p w14:paraId="3A892877"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were statistically non-significant. </w:t>
      </w:r>
      <w:r>
        <w:rPr>
          <w:rFonts w:ascii="AGaramond-Regular" w:hAnsi="AGaramond-Regular" w:cs="AGaramond-Regular"/>
          <w:color w:val="0000FF"/>
          <w:sz w:val="18"/>
          <w:szCs w:val="18"/>
        </w:rPr>
        <w:t xml:space="preserve">Grinspoon 2000 </w:t>
      </w:r>
      <w:r>
        <w:rPr>
          <w:rFonts w:ascii="AGaramond-Regular" w:hAnsi="AGaramond-Regular" w:cs="AGaramond-Regular"/>
          <w:color w:val="000000"/>
          <w:sz w:val="18"/>
          <w:szCs w:val="18"/>
        </w:rPr>
        <w:t>found no significant</w:t>
      </w:r>
    </w:p>
    <w:p w14:paraId="3AE24216"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differences in viral load. </w:t>
      </w:r>
      <w:r>
        <w:rPr>
          <w:rFonts w:ascii="AGaramond-Regular" w:hAnsi="AGaramond-Regular" w:cs="AGaramond-Regular"/>
          <w:color w:val="0000FF"/>
          <w:sz w:val="18"/>
          <w:szCs w:val="18"/>
        </w:rPr>
        <w:t xml:space="preserve">Dolan 2006 </w:t>
      </w:r>
      <w:r>
        <w:rPr>
          <w:rFonts w:ascii="AGaramond-Regular" w:hAnsi="AGaramond-Regular" w:cs="AGaramond-Regular"/>
          <w:color w:val="000000"/>
          <w:sz w:val="18"/>
          <w:szCs w:val="18"/>
        </w:rPr>
        <w:t>reported a non-significant</w:t>
      </w:r>
    </w:p>
    <w:p w14:paraId="150E0C34"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increase in viral load of 0.1 copies/μL in the exercise group</w:t>
      </w:r>
    </w:p>
    <w:p w14:paraId="56F6E1EF"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and non-significant decrease of -0.2 copies/μL in the non-exercising</w:t>
      </w:r>
    </w:p>
    <w:p w14:paraId="58466CC2"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control group. </w:t>
      </w:r>
      <w:r>
        <w:rPr>
          <w:rFonts w:ascii="AGaramond-Regular" w:hAnsi="AGaramond-Regular" w:cs="AGaramond-Regular"/>
          <w:color w:val="0000FF"/>
          <w:sz w:val="18"/>
          <w:szCs w:val="18"/>
        </w:rPr>
        <w:t xml:space="preserve">Driscoll 2004a </w:t>
      </w:r>
      <w:r>
        <w:rPr>
          <w:rFonts w:ascii="AGaramond-Regular" w:hAnsi="AGaramond-Regular" w:cs="AGaramond-Regular"/>
          <w:color w:val="000000"/>
          <w:sz w:val="18"/>
          <w:szCs w:val="18"/>
        </w:rPr>
        <w:t>reported no change in viral</w:t>
      </w:r>
    </w:p>
    <w:p w14:paraId="20C72DA3"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load in both the combined exercise and metformin group and the</w:t>
      </w:r>
    </w:p>
    <w:p w14:paraId="142E93EB"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 xml:space="preserve">metformin only group. </w:t>
      </w:r>
      <w:r>
        <w:rPr>
          <w:rFonts w:ascii="AGaramond-Regular" w:hAnsi="AGaramond-Regular" w:cs="AGaramond-Regular"/>
          <w:color w:val="0000FF"/>
          <w:sz w:val="18"/>
          <w:szCs w:val="18"/>
        </w:rPr>
        <w:t xml:space="preserve">Terry 2006 </w:t>
      </w:r>
      <w:r>
        <w:rPr>
          <w:rFonts w:ascii="AGaramond-Regular" w:hAnsi="AGaramond-Regular" w:cs="AGaramond-Regular"/>
          <w:color w:val="000000"/>
          <w:sz w:val="18"/>
          <w:szCs w:val="18"/>
        </w:rPr>
        <w:t>reported that after the intervention</w:t>
      </w:r>
    </w:p>
    <w:p w14:paraId="59ED5FB5"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13 of 15 participants in both the exercise and combined</w:t>
      </w:r>
    </w:p>
    <w:p w14:paraId="027D8B95" w14:textId="77777777" w:rsidR="00785F22" w:rsidRDefault="00785F22" w:rsidP="00785F22">
      <w:pPr>
        <w:autoSpaceDE w:val="0"/>
        <w:autoSpaceDN w:val="0"/>
        <w:adjustRightInd w:val="0"/>
        <w:rPr>
          <w:rFonts w:ascii="AGaramond-Regular" w:hAnsi="AGaramond-Regular" w:cs="AGaramond-Regular"/>
          <w:color w:val="000000"/>
          <w:sz w:val="18"/>
          <w:szCs w:val="18"/>
        </w:rPr>
      </w:pPr>
      <w:r>
        <w:rPr>
          <w:rFonts w:ascii="AGaramond-Regular" w:hAnsi="AGaramond-Regular" w:cs="AGaramond-Regular"/>
          <w:color w:val="000000"/>
          <w:sz w:val="18"/>
          <w:szCs w:val="18"/>
        </w:rPr>
        <w:t>exercise and low lipid diet groups had viral load values below 80</w:t>
      </w:r>
    </w:p>
    <w:p w14:paraId="25608B07" w14:textId="77777777" w:rsidR="00785F22" w:rsidRDefault="00785F22" w:rsidP="00785F22">
      <w:pPr>
        <w:rPr>
          <w:rFonts w:ascii="AGaramond-Regular" w:hAnsi="AGaramond-Regular" w:cs="AGaramond-Regular"/>
          <w:color w:val="000000"/>
          <w:sz w:val="18"/>
          <w:szCs w:val="18"/>
        </w:rPr>
      </w:pPr>
      <w:r>
        <w:rPr>
          <w:rFonts w:ascii="AGaramond-Regular" w:hAnsi="AGaramond-Regular" w:cs="AGaramond-Regular"/>
          <w:color w:val="000000"/>
          <w:sz w:val="18"/>
          <w:szCs w:val="18"/>
        </w:rPr>
        <w:t>copies/mL. These results were not significant.</w:t>
      </w:r>
    </w:p>
    <w:p w14:paraId="03C2525B" w14:textId="77777777" w:rsidR="00785F22" w:rsidRDefault="00785F22" w:rsidP="00785F22">
      <w:pPr>
        <w:rPr>
          <w:rFonts w:ascii="AGaramond-Regular" w:hAnsi="AGaramond-Regular" w:cs="AGaramond-Regular"/>
          <w:color w:val="000000"/>
          <w:sz w:val="18"/>
          <w:szCs w:val="18"/>
        </w:rPr>
      </w:pPr>
    </w:p>
    <w:p w14:paraId="50DE2A20"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No significant differences</w:t>
      </w:r>
    </w:p>
    <w:p w14:paraId="7602E8E2"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t>were found in all but one meta-analysis for CD4 count or viral</w:t>
      </w:r>
    </w:p>
    <w:p w14:paraId="68AD2F71" w14:textId="77777777" w:rsidR="00785F22" w:rsidRDefault="00785F22" w:rsidP="00785F22">
      <w:pPr>
        <w:autoSpaceDE w:val="0"/>
        <w:autoSpaceDN w:val="0"/>
        <w:adjustRightInd w:val="0"/>
        <w:rPr>
          <w:rFonts w:ascii="AGaramond-Regular" w:hAnsi="AGaramond-Regular" w:cs="AGaramond-Regular"/>
          <w:sz w:val="18"/>
          <w:szCs w:val="18"/>
        </w:rPr>
      </w:pPr>
      <w:r>
        <w:rPr>
          <w:rFonts w:ascii="AGaramond-Regular" w:hAnsi="AGaramond-Regular" w:cs="AGaramond-Regular"/>
          <w:sz w:val="18"/>
          <w:szCs w:val="18"/>
        </w:rPr>
        <w:lastRenderedPageBreak/>
        <w:t>load outcomes, suggesting that aerobic exercise has little impact</w:t>
      </w:r>
    </w:p>
    <w:p w14:paraId="5702004E" w14:textId="77777777" w:rsidR="00785F22" w:rsidRPr="006636B4" w:rsidRDefault="00785F22" w:rsidP="00785F22">
      <w:r>
        <w:rPr>
          <w:rFonts w:ascii="AGaramond-Regular" w:hAnsi="AGaramond-Regular" w:cs="AGaramond-Regular"/>
          <w:sz w:val="18"/>
          <w:szCs w:val="18"/>
        </w:rPr>
        <w:t>on immunological or virological status.</w:t>
      </w:r>
    </w:p>
    <w:p w14:paraId="0095AEA8" w14:textId="77777777" w:rsidR="00785F22" w:rsidRDefault="00785F22"/>
    <w:p w14:paraId="02D28CA7" w14:textId="77777777" w:rsidR="00785F22" w:rsidRDefault="00785F22"/>
    <w:p w14:paraId="626A8DC0" w14:textId="77777777" w:rsidR="00785F22" w:rsidRDefault="00785F22"/>
    <w:p w14:paraId="2CCCE99A" w14:textId="77777777" w:rsidR="00785F22" w:rsidRDefault="00785F22">
      <w:bookmarkStart w:id="0" w:name="_GoBack"/>
      <w:bookmarkEnd w:id="0"/>
    </w:p>
    <w:p w14:paraId="04BC74C7" w14:textId="77777777" w:rsidR="006E7B21" w:rsidRDefault="006E7B21" w:rsidP="006E7B21">
      <w:pPr>
        <w:spacing w:line="240" w:lineRule="auto"/>
      </w:pPr>
    </w:p>
    <w:p w14:paraId="4CD89A09" w14:textId="77777777" w:rsidR="006E7B21" w:rsidRPr="006E7B21" w:rsidRDefault="006E7B21" w:rsidP="006E7B21">
      <w:pPr>
        <w:spacing w:line="240" w:lineRule="auto"/>
        <w:rPr>
          <w:b/>
        </w:rPr>
      </w:pPr>
      <w:r w:rsidRPr="006E7B21">
        <w:rPr>
          <w:b/>
        </w:rPr>
        <w:t>MUSCLE WASTING</w:t>
      </w:r>
    </w:p>
    <w:p w14:paraId="2C9A1766" w14:textId="77777777" w:rsidR="006E7B21" w:rsidRDefault="006E7B21" w:rsidP="006E7B21">
      <w:pPr>
        <w:autoSpaceDE w:val="0"/>
        <w:autoSpaceDN w:val="0"/>
        <w:adjustRightInd w:val="0"/>
        <w:spacing w:line="240" w:lineRule="auto"/>
        <w:rPr>
          <w:rFonts w:ascii="AGaramond-Regular" w:hAnsi="AGaramond-Regular" w:cs="AGaramond-Regular"/>
          <w:sz w:val="16"/>
          <w:szCs w:val="16"/>
        </w:rPr>
      </w:pPr>
    </w:p>
    <w:p w14:paraId="2E806C83" w14:textId="77777777" w:rsidR="006E7B21" w:rsidRDefault="006E7B21" w:rsidP="006E7B21">
      <w:pPr>
        <w:autoSpaceDE w:val="0"/>
        <w:autoSpaceDN w:val="0"/>
        <w:adjustRightInd w:val="0"/>
        <w:spacing w:line="240" w:lineRule="auto"/>
        <w:rPr>
          <w:rFonts w:ascii="AGaramond-Regular" w:hAnsi="AGaramond-Regular" w:cs="AGaramond-Regular"/>
          <w:sz w:val="16"/>
          <w:szCs w:val="16"/>
        </w:rPr>
      </w:pPr>
      <w:r>
        <w:rPr>
          <w:rFonts w:ascii="AGaramond-Regular" w:hAnsi="AGaramond-Regular" w:cs="AGaramond-Regular"/>
          <w:sz w:val="16"/>
          <w:szCs w:val="16"/>
        </w:rPr>
        <w:t>O’Brien (2009)</w:t>
      </w:r>
    </w:p>
    <w:p w14:paraId="0FCFA9DF" w14:textId="77777777" w:rsidR="006E7B21" w:rsidRPr="00DC7CC8" w:rsidRDefault="006E7B21" w:rsidP="006E7B21">
      <w:pPr>
        <w:autoSpaceDE w:val="0"/>
        <w:autoSpaceDN w:val="0"/>
        <w:adjustRightInd w:val="0"/>
        <w:spacing w:line="240" w:lineRule="auto"/>
        <w:rPr>
          <w:rFonts w:ascii="AGaramond-Regular" w:hAnsi="AGaramond-Regular" w:cs="AGaramond-Regular"/>
          <w:color w:val="000000"/>
          <w:sz w:val="18"/>
          <w:szCs w:val="18"/>
        </w:rPr>
      </w:pPr>
      <w:r>
        <w:rPr>
          <w:rFonts w:ascii="AGaramond-Regular" w:hAnsi="AGaramond-Regular" w:cs="AGaramond-Regular"/>
          <w:color w:val="000000"/>
          <w:sz w:val="18"/>
          <w:szCs w:val="18"/>
        </w:rPr>
        <w:t>AIDS wasting is a condition associated with HIVinfection and is defined as an “involuntary loss of more than 10% of baseline body weight in combination with diarrhea, weakness or fever.” (</w:t>
      </w:r>
      <w:r>
        <w:rPr>
          <w:rFonts w:ascii="AGaramond-Regular" w:hAnsi="AGaramond-Regular" w:cs="AGaramond-Regular"/>
          <w:color w:val="0000FF"/>
          <w:sz w:val="18"/>
          <w:szCs w:val="18"/>
        </w:rPr>
        <w:t>CDC 1987</w:t>
      </w:r>
      <w:r>
        <w:rPr>
          <w:rFonts w:ascii="AGaramond-Regular" w:hAnsi="AGaramond-Regular" w:cs="AGaramond-Regular"/>
          <w:color w:val="000000"/>
          <w:sz w:val="18"/>
          <w:szCs w:val="18"/>
        </w:rPr>
        <w:t>).  AIDS wasting may lead to increased energy expenditure (Grunfeld 1992), increased energy intake (</w:t>
      </w:r>
      <w:r>
        <w:rPr>
          <w:rFonts w:ascii="AGaramond-Regular" w:hAnsi="AGaramond-Regular" w:cs="AGaramond-Regular"/>
          <w:color w:val="0000FF"/>
          <w:sz w:val="18"/>
          <w:szCs w:val="18"/>
        </w:rPr>
        <w:t>Macallan 1995</w:t>
      </w:r>
      <w:r>
        <w:rPr>
          <w:rFonts w:ascii="AGaramond-Regular" w:hAnsi="AGaramond-Regular" w:cs="AGaramond-Regular"/>
          <w:color w:val="000000"/>
          <w:sz w:val="18"/>
          <w:szCs w:val="18"/>
        </w:rPr>
        <w:t>), decreased functional capacity (</w:t>
      </w:r>
      <w:r>
        <w:rPr>
          <w:rFonts w:ascii="AGaramond-Regular" w:hAnsi="AGaramond-Regular" w:cs="AGaramond-Regular"/>
          <w:color w:val="0000FF"/>
          <w:sz w:val="18"/>
          <w:szCs w:val="18"/>
        </w:rPr>
        <w:t>Grinspoon 1999</w:t>
      </w:r>
      <w:r>
        <w:rPr>
          <w:rFonts w:ascii="AGaramond-Regular" w:hAnsi="AGaramond-Regular" w:cs="AGaramond-Regular"/>
          <w:color w:val="000000"/>
          <w:sz w:val="18"/>
          <w:szCs w:val="18"/>
        </w:rPr>
        <w:t>), and even death (</w:t>
      </w:r>
      <w:r>
        <w:rPr>
          <w:rFonts w:ascii="AGaramond-Regular" w:hAnsi="AGaramond-Regular" w:cs="AGaramond-Regular"/>
          <w:color w:val="0000FF"/>
          <w:sz w:val="18"/>
          <w:szCs w:val="18"/>
        </w:rPr>
        <w:t>Palenicek</w:t>
      </w:r>
      <w:r>
        <w:rPr>
          <w:rFonts w:ascii="AGaramond-Regular" w:hAnsi="AGaramond-Regular" w:cs="AGaramond-Regular"/>
          <w:color w:val="000000"/>
          <w:sz w:val="18"/>
          <w:szCs w:val="18"/>
        </w:rPr>
        <w:t xml:space="preserve"> </w:t>
      </w:r>
      <w:r>
        <w:rPr>
          <w:rFonts w:ascii="AGaramond-Regular" w:hAnsi="AGaramond-Regular" w:cs="AGaramond-Regular"/>
          <w:color w:val="0000FF"/>
          <w:sz w:val="18"/>
          <w:szCs w:val="18"/>
        </w:rPr>
        <w:t>1995</w:t>
      </w:r>
      <w:r>
        <w:rPr>
          <w:rFonts w:ascii="AGaramond-Regular" w:hAnsi="AGaramond-Regular" w:cs="AGaramond-Regular"/>
          <w:color w:val="000000"/>
          <w:sz w:val="18"/>
          <w:szCs w:val="18"/>
        </w:rPr>
        <w:t>).</w:t>
      </w:r>
    </w:p>
    <w:p w14:paraId="2CB4800B" w14:textId="77777777" w:rsidR="006E7B21" w:rsidRDefault="006E7B21" w:rsidP="006E7B21">
      <w:pPr>
        <w:spacing w:line="240" w:lineRule="auto"/>
      </w:pPr>
    </w:p>
    <w:p w14:paraId="23A0EA08" w14:textId="77777777" w:rsidR="006E7B21" w:rsidRDefault="006E7B21" w:rsidP="006E7B21">
      <w:pPr>
        <w:autoSpaceDE w:val="0"/>
        <w:autoSpaceDN w:val="0"/>
        <w:adjustRightInd w:val="0"/>
        <w:spacing w:line="240" w:lineRule="auto"/>
        <w:rPr>
          <w:rFonts w:ascii="AGaramond-Regular" w:hAnsi="AGaramond-Regular" w:cs="AGaramond-Regular"/>
          <w:sz w:val="18"/>
          <w:szCs w:val="18"/>
        </w:rPr>
      </w:pPr>
      <w:r>
        <w:rPr>
          <w:rFonts w:ascii="AGaramond-Regular" w:hAnsi="AGaramond-Regular" w:cs="AGaramond-Regular"/>
          <w:sz w:val="18"/>
          <w:szCs w:val="18"/>
        </w:rPr>
        <w:t>Four of the seven studies included comparison groups that assessed the effects of co-interventions of PRE with testosterone (Sattler 1999, Bhasin 2000 and Grinspoon 2000) and whey protein (Agin 2001). These studies also included comparison groups consisting of testosterone only and whey protein only, respectively. Three of the seven studies assess the effect of testosterone only (Sattler 1999, Grinspoon 2000, Bhasin 2000).</w:t>
      </w:r>
    </w:p>
    <w:p w14:paraId="6F3F0C0C" w14:textId="77777777" w:rsidR="006E7B21" w:rsidRDefault="006E7B21" w:rsidP="006E7B21">
      <w:pPr>
        <w:spacing w:line="240" w:lineRule="auto"/>
      </w:pPr>
    </w:p>
    <w:p w14:paraId="60BE0BB6" w14:textId="77777777" w:rsidR="006E7B21" w:rsidRDefault="006E7B21" w:rsidP="006E7B21">
      <w:pPr>
        <w:autoSpaceDE w:val="0"/>
        <w:autoSpaceDN w:val="0"/>
        <w:adjustRightInd w:val="0"/>
        <w:spacing w:line="240" w:lineRule="auto"/>
        <w:rPr>
          <w:rFonts w:ascii="AGaramond-Regular" w:hAnsi="AGaramond-Regular" w:cs="AGaramond-Regular"/>
          <w:sz w:val="18"/>
          <w:szCs w:val="18"/>
        </w:rPr>
      </w:pPr>
      <w:r>
        <w:rPr>
          <w:rFonts w:ascii="AGaramond-Regular" w:hAnsi="AGaramond-Regular" w:cs="AGaramond-Regular"/>
          <w:sz w:val="18"/>
          <w:szCs w:val="18"/>
        </w:rPr>
        <w:t>Three of the seven studies included participants with elements of wasting syndrome (either &gt;5%or &gt;10% involuntary weight loss or body weight &lt;90% ideal body weight) (Grinspoon 2000, Agin 2001 &amp; Bhasin 2000).  One of the studies included participants with low testosterone levels (serum total testosterone levels less than 12.1nmol/L) (Bhasin 2000). Three of the seven studies included participants who were diagnosed with AIDS wasting at baseline (Bhasin 2000, Grinspoon 2000, &amp;Agin 2001).</w:t>
      </w:r>
    </w:p>
    <w:p w14:paraId="75D43FEC" w14:textId="77777777" w:rsidR="006E7B21" w:rsidRDefault="006E7B21" w:rsidP="006E7B21">
      <w:pPr>
        <w:autoSpaceDE w:val="0"/>
        <w:autoSpaceDN w:val="0"/>
        <w:adjustRightInd w:val="0"/>
        <w:spacing w:line="240" w:lineRule="auto"/>
        <w:rPr>
          <w:rFonts w:ascii="AGaramond-Regular" w:hAnsi="AGaramond-Regular" w:cs="AGaramond-Regular"/>
          <w:sz w:val="18"/>
          <w:szCs w:val="18"/>
        </w:rPr>
      </w:pPr>
    </w:p>
    <w:p w14:paraId="6AA535C5" w14:textId="77777777" w:rsidR="006E7B21" w:rsidRDefault="006E7B21" w:rsidP="006E7B21">
      <w:pPr>
        <w:autoSpaceDE w:val="0"/>
        <w:autoSpaceDN w:val="0"/>
        <w:adjustRightInd w:val="0"/>
        <w:spacing w:line="240" w:lineRule="auto"/>
        <w:rPr>
          <w:rFonts w:ascii="AGaramond-Regular" w:hAnsi="AGaramond-Regular" w:cs="AGaramond-Regular"/>
          <w:sz w:val="18"/>
          <w:szCs w:val="18"/>
        </w:rPr>
      </w:pPr>
    </w:p>
    <w:p w14:paraId="5F0CBC47" w14:textId="77777777" w:rsidR="006E7B21" w:rsidRDefault="006E7B21" w:rsidP="006E7B21">
      <w:pPr>
        <w:autoSpaceDE w:val="0"/>
        <w:autoSpaceDN w:val="0"/>
        <w:adjustRightInd w:val="0"/>
        <w:spacing w:line="240" w:lineRule="auto"/>
        <w:rPr>
          <w:rFonts w:ascii="AGaramond-Regular" w:hAnsi="AGaramond-Regular" w:cs="AGaramond-Regular"/>
          <w:sz w:val="18"/>
          <w:szCs w:val="18"/>
        </w:rPr>
      </w:pPr>
    </w:p>
    <w:p w14:paraId="069FD759" w14:textId="77777777" w:rsidR="006E7B21" w:rsidRDefault="006E7B21" w:rsidP="006E7B21">
      <w:pPr>
        <w:autoSpaceDE w:val="0"/>
        <w:autoSpaceDN w:val="0"/>
        <w:adjustRightInd w:val="0"/>
        <w:spacing w:line="240" w:lineRule="auto"/>
        <w:rPr>
          <w:rFonts w:ascii="AGaramond-Regular" w:hAnsi="AGaramond-Regular" w:cs="AGaramond-Regular"/>
          <w:sz w:val="18"/>
          <w:szCs w:val="18"/>
        </w:rPr>
      </w:pPr>
      <w:r>
        <w:rPr>
          <w:rFonts w:ascii="AGaramond-Regular" w:hAnsi="AGaramond-Regular" w:cs="AGaramond-Regular"/>
          <w:sz w:val="18"/>
          <w:szCs w:val="18"/>
        </w:rPr>
        <w:t>Bhasin (2000) reported adverse events such as breast enlargement for a participant receiving testosterone and acne for two participants, one who was receiving testosterone and the other, placebo. Hemoglobin levels also increased among participants in the testosterone groups. Sattler (1999) reported some minor adverse events such as acne and testicular shrinkage for participants in the testosterone groups. No participants developed urinary symptoms, breast enlargement, edema or changes in blood pressure. Spence (1990) and Lox (1995) did not report on any adverse events to assess safety.</w:t>
      </w:r>
    </w:p>
    <w:p w14:paraId="3D1525DB" w14:textId="77777777" w:rsidR="006E7B21" w:rsidRDefault="006E7B21" w:rsidP="006E7B21">
      <w:pPr>
        <w:autoSpaceDE w:val="0"/>
        <w:autoSpaceDN w:val="0"/>
        <w:adjustRightInd w:val="0"/>
        <w:spacing w:line="240" w:lineRule="auto"/>
        <w:rPr>
          <w:rFonts w:ascii="AGaramond-Regular" w:hAnsi="AGaramond-Regular" w:cs="AGaramond-Regular"/>
          <w:sz w:val="18"/>
          <w:szCs w:val="18"/>
        </w:rPr>
      </w:pPr>
    </w:p>
    <w:p w14:paraId="6F5A290F" w14:textId="77777777" w:rsidR="006E7B21" w:rsidRDefault="006E7B21" w:rsidP="006E7B21">
      <w:pPr>
        <w:autoSpaceDE w:val="0"/>
        <w:autoSpaceDN w:val="0"/>
        <w:adjustRightInd w:val="0"/>
        <w:spacing w:line="240" w:lineRule="auto"/>
        <w:rPr>
          <w:rFonts w:ascii="AGaramond-Regular" w:hAnsi="AGaramond-Regular" w:cs="AGaramond-Regular"/>
          <w:sz w:val="18"/>
          <w:szCs w:val="18"/>
        </w:rPr>
      </w:pPr>
    </w:p>
    <w:p w14:paraId="70E610DE" w14:textId="77777777" w:rsidR="006E7B21" w:rsidRDefault="006E7B21" w:rsidP="006E7B21">
      <w:pPr>
        <w:autoSpaceDE w:val="0"/>
        <w:autoSpaceDN w:val="0"/>
        <w:adjustRightInd w:val="0"/>
        <w:spacing w:line="240" w:lineRule="auto"/>
        <w:rPr>
          <w:rFonts w:ascii="AGaramond-Regular" w:hAnsi="AGaramond-Regular" w:cs="AGaramond-Regular"/>
          <w:sz w:val="18"/>
          <w:szCs w:val="18"/>
        </w:rPr>
      </w:pPr>
    </w:p>
    <w:p w14:paraId="45220E8F" w14:textId="77777777" w:rsidR="006E7B21" w:rsidRPr="00C03F1F" w:rsidRDefault="006E7B21" w:rsidP="006E7B21">
      <w:pPr>
        <w:pStyle w:val="NoSpacing"/>
        <w:rPr>
          <w:b/>
        </w:rPr>
      </w:pPr>
      <w:r w:rsidRPr="00C03F1F">
        <w:rPr>
          <w:b/>
        </w:rPr>
        <w:lastRenderedPageBreak/>
        <w:t xml:space="preserve">Muscle </w:t>
      </w:r>
      <w:r>
        <w:rPr>
          <w:b/>
        </w:rPr>
        <w:t>wasting</w:t>
      </w:r>
      <w:r w:rsidRPr="00C03F1F">
        <w:rPr>
          <w:b/>
        </w:rPr>
        <w:t xml:space="preserve"> in HIV (Glover, 2010)</w:t>
      </w:r>
    </w:p>
    <w:p w14:paraId="46954BCE" w14:textId="77777777" w:rsidR="006E7B21" w:rsidRDefault="006E7B21" w:rsidP="006E7B21">
      <w:pPr>
        <w:pStyle w:val="NoSpacing"/>
      </w:pPr>
      <w:r>
        <w:t>Moderate resistance exercise can offset pathologically induced wasting.  The minimal volume and intensity required to elicit changes is unknown.  Neutralizing muscle loss.</w:t>
      </w:r>
    </w:p>
    <w:p w14:paraId="6889FF17" w14:textId="77777777" w:rsidR="006E7B21" w:rsidRDefault="006E7B21" w:rsidP="006E7B21">
      <w:pPr>
        <w:spacing w:line="240" w:lineRule="auto"/>
      </w:pPr>
    </w:p>
    <w:sectPr w:rsidR="006E7B21" w:rsidSect="00134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Garamond-Regular">
    <w:altName w:val="Calibri"/>
    <w:panose1 w:val="00000000000000000000"/>
    <w:charset w:val="00"/>
    <w:family w:val="auto"/>
    <w:notTrueType/>
    <w:pitch w:val="default"/>
    <w:sig w:usb0="00000003" w:usb1="00000000" w:usb2="00000000" w:usb3="00000000" w:csb0="00000001" w:csb1="00000000"/>
  </w:font>
  <w:font w:name="AGaramond-Italic">
    <w:altName w:val="Calibri"/>
    <w:panose1 w:val="00000000000000000000"/>
    <w:charset w:val="00"/>
    <w:family w:val="auto"/>
    <w:notTrueType/>
    <w:pitch w:val="default"/>
    <w:sig w:usb0="00000003" w:usb1="00000000" w:usb2="00000000" w:usb3="00000000" w:csb0="00000001" w:csb1="00000000"/>
  </w:font>
  <w:font w:name="AGaramond-Bold">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CF309B"/>
    <w:rsid w:val="00134F26"/>
    <w:rsid w:val="003F3F07"/>
    <w:rsid w:val="003F6901"/>
    <w:rsid w:val="004B56E2"/>
    <w:rsid w:val="006E7B21"/>
    <w:rsid w:val="006F35C9"/>
    <w:rsid w:val="00785F22"/>
    <w:rsid w:val="00A66E92"/>
    <w:rsid w:val="00B77376"/>
    <w:rsid w:val="00CF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47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4F26"/>
  </w:style>
  <w:style w:type="paragraph" w:styleId="Heading3">
    <w:name w:val="heading 3"/>
    <w:basedOn w:val="Normal"/>
    <w:next w:val="Normal"/>
    <w:link w:val="Heading3Char"/>
    <w:uiPriority w:val="9"/>
    <w:unhideWhenUsed/>
    <w:qFormat/>
    <w:rsid w:val="00CF30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309B"/>
    <w:rPr>
      <w:rFonts w:asciiTheme="majorHAnsi" w:eastAsiaTheme="majorEastAsia" w:hAnsiTheme="majorHAnsi" w:cstheme="majorBidi"/>
      <w:b/>
      <w:bCs/>
      <w:color w:val="4F81BD" w:themeColor="accent1"/>
    </w:rPr>
  </w:style>
  <w:style w:type="paragraph" w:styleId="NoSpacing">
    <w:name w:val="No Spacing"/>
    <w:uiPriority w:val="1"/>
    <w:qFormat/>
    <w:rsid w:val="00CF309B"/>
    <w:pPr>
      <w:spacing w:after="0" w:line="240" w:lineRule="auto"/>
    </w:pPr>
    <w:rPr>
      <w:rFonts w:ascii="Calibri" w:eastAsia="Calibri" w:hAnsi="Calibri" w:cs="Times New Roman"/>
    </w:rPr>
  </w:style>
  <w:style w:type="character" w:styleId="Hyperlink">
    <w:name w:val="Hyperlink"/>
    <w:basedOn w:val="DefaultParagraphFont"/>
    <w:uiPriority w:val="99"/>
    <w:semiHidden/>
    <w:rsid w:val="00CF309B"/>
    <w:rPr>
      <w:rFonts w:cs="Times New Roman"/>
      <w:color w:val="0000FF"/>
      <w:u w:val="single"/>
    </w:rPr>
  </w:style>
  <w:style w:type="character" w:customStyle="1" w:styleId="apple-converted-space">
    <w:name w:val="apple-converted-space"/>
    <w:basedOn w:val="DefaultParagraphFont"/>
    <w:rsid w:val="00CF309B"/>
  </w:style>
  <w:style w:type="paragraph" w:styleId="NormalWeb">
    <w:name w:val="Normal (Web)"/>
    <w:basedOn w:val="Normal"/>
    <w:uiPriority w:val="99"/>
    <w:unhideWhenUsed/>
    <w:rsid w:val="00CF30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CF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en.wikipedia.org/wiki/HIV" TargetMode="External"/><Relationship Id="rId5" Type="http://schemas.openxmlformats.org/officeDocument/2006/relationships/hyperlink" Target="http://en.wikipedia.org/wiki/AIDS" TargetMode="External"/><Relationship Id="rId6" Type="http://schemas.openxmlformats.org/officeDocument/2006/relationships/hyperlink" Target="http://en.wikipedia.org/wiki/Natural_killer_cell" TargetMode="External"/><Relationship Id="rId7" Type="http://schemas.openxmlformats.org/officeDocument/2006/relationships/hyperlink" Target="http://en.wikipedia.org/wiki/HLA" TargetMode="External"/><Relationship Id="rId8" Type="http://schemas.openxmlformats.org/officeDocument/2006/relationships/hyperlink" Target="http://en.wikipedia.org/wiki/T_helper_cell" TargetMode="External"/><Relationship Id="rId9" Type="http://schemas.openxmlformats.org/officeDocument/2006/relationships/hyperlink" Target="http://en.wikipedia.org/wiki/Natural_killer_cell" TargetMode="External"/><Relationship Id="rId10" Type="http://schemas.openxmlformats.org/officeDocument/2006/relationships/hyperlink" Target="http://en.wikipedia.org/wiki/Natural_killer_c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2215</Words>
  <Characters>12628</Characters>
  <Application>Microsoft Macintosh Word</Application>
  <DocSecurity>0</DocSecurity>
  <Lines>105</Lines>
  <Paragraphs>29</Paragraphs>
  <ScaleCrop>false</ScaleCrop>
  <Company/>
  <LinksUpToDate>false</LinksUpToDate>
  <CharactersWithSpaces>14814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Jensen</dc:creator>
  <cp:keywords/>
  <dc:description/>
  <cp:lastModifiedBy>Microsoft Office User</cp:lastModifiedBy>
  <cp:revision>12</cp:revision>
  <dcterms:created xsi:type="dcterms:W3CDTF">2012-11-28T16:48:00Z</dcterms:created>
  <dcterms:modified xsi:type="dcterms:W3CDTF">2017-07-05T00:41:00Z</dcterms:modified>
</cp:coreProperties>
</file>